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64E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江门市妇幼保健院全院标识文化一体化项目（设计）采购需求</w:t>
      </w:r>
    </w:p>
    <w:p w14:paraId="5020DF9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textAlignment w:val="auto"/>
        <w:rPr>
          <w:rFonts w:hint="eastAsia" w:ascii="黑体" w:hAnsi="黑体" w:eastAsia="黑体" w:cs="黑体"/>
          <w:color w:val="auto"/>
        </w:rPr>
      </w:pPr>
    </w:p>
    <w:p w14:paraId="6745FCE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一、采购项目概况</w:t>
      </w:r>
    </w:p>
    <w:p w14:paraId="00C37A8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项目背景</w:t>
      </w:r>
    </w:p>
    <w:p w14:paraId="33DF92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为贯彻落实国家“生育友好、儿童友好”（两友好一优先）政策导向，全面提升医院环境文化品质，启动全院标识文化一体化项目。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 xml:space="preserve">    </w:t>
      </w:r>
    </w:p>
    <w:p w14:paraId="1D49B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本次采购为设计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服务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采用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院内自主招采的方式，公开遴选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一家具备相应资质和经验的设计单位，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完成全院标识文化的整体设计方案及相关配套服务。</w:t>
      </w:r>
    </w:p>
    <w:p w14:paraId="05F684E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采购预算</w:t>
      </w:r>
    </w:p>
    <w:p w14:paraId="3CB67C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人民币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96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万元整（大写：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玖拾陆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万元整）。该预算涵盖方案设计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初步设计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深化设计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施工阶段全程驻场配合、制作落地竣工验收及结算配合等全部设计服务费用。</w:t>
      </w:r>
    </w:p>
    <w:p w14:paraId="09E9EE9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采购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方式</w:t>
      </w:r>
    </w:p>
    <w:p w14:paraId="3557A92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院内自主招采</w:t>
      </w:r>
    </w:p>
    <w:p w14:paraId="4BC88E9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范围</w:t>
      </w:r>
    </w:p>
    <w:p w14:paraId="64E986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本次设计范围覆盖本院1、2、3、5号楼四座建筑及院区（含户外公共区域及地下停车场）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其中重点点位包括：</w:t>
      </w:r>
    </w:p>
    <w:p w14:paraId="10560575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新旧楼交接部分的一二楼平台（含喷水池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、中庭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花园）</w:t>
      </w:r>
    </w:p>
    <w:p w14:paraId="6868969E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3号楼前花园及一楼大堂</w:t>
      </w:r>
    </w:p>
    <w:p w14:paraId="22F10AC9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儿童健康大楼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6楼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连廊、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两侧平台花园</w:t>
      </w:r>
    </w:p>
    <w:p w14:paraId="3BA17ADE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正门（北门）和东侧门门楼区</w:t>
      </w:r>
    </w:p>
    <w:p w14:paraId="3B4F1DCD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1号楼门诊大堂及门口区域</w:t>
      </w:r>
    </w:p>
    <w:p w14:paraId="4E244E87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十二生肖广场</w:t>
      </w:r>
    </w:p>
    <w:p w14:paraId="37EE5218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儿童健康大楼2楼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背景墙</w:t>
      </w:r>
    </w:p>
    <w:p w14:paraId="6CEBFC3D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院内连廊</w:t>
      </w:r>
    </w:p>
    <w:p w14:paraId="4D57F82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二、采购需求书</w:t>
      </w:r>
    </w:p>
    <w:p w14:paraId="5D6C02B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2.1 总体定位</w:t>
      </w:r>
    </w:p>
    <w:p w14:paraId="1216D9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以“生育友好、儿童友好”为核心设计理念，融合医院文化特色，打造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风格统一、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温馨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宜人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的就医环境。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设计应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在全院一体化基础上，结合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儿童及孕产妇的特殊需求，体现人性化关怀，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充分展示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医院品牌形象和文化传承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。</w:t>
      </w:r>
    </w:p>
    <w:p w14:paraId="053D08C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2.2 设计原则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5"/>
        <w:gridCol w:w="1150"/>
        <w:gridCol w:w="7495"/>
      </w:tblGrid>
      <w:tr w14:paraId="4AF47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673E9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</w:rPr>
              <w:t>序号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C185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</w:rPr>
              <w:t>原则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BE9A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</w:rPr>
              <w:t>说明</w:t>
            </w:r>
          </w:p>
        </w:tc>
      </w:tr>
      <w:tr w14:paraId="2258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B762F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1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515E36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统一性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2E1B830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整合新老建筑风格，一体化设计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，形成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全院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统一的文化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标识及形象表达</w:t>
            </w:r>
          </w:p>
        </w:tc>
      </w:tr>
      <w:tr w14:paraId="40976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682258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2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DCFDA9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安全性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3796DCB1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所有标识及文化设施符合消防、结构安全要求，无尖锐棱角，材质无毒无害</w:t>
            </w:r>
          </w:p>
        </w:tc>
      </w:tr>
      <w:tr w14:paraId="5592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58852D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3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9FAE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友好性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7AE7E">
            <w:pPr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充分体现儿童友好（色彩明快、高度适宜、互动性强）和生育友好（温馨私密、动线清晰、母婴便利）</w:t>
            </w:r>
          </w:p>
        </w:tc>
      </w:tr>
      <w:tr w14:paraId="5ECC8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30F4D54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FC29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功能性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94916">
            <w:pPr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导视系统清晰易懂，标识点位合理，满足患者、家属及医护人员的使用需求</w:t>
            </w:r>
          </w:p>
        </w:tc>
      </w:tr>
      <w:tr w14:paraId="7FFF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7EDE9D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5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8045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经济性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2B79E">
            <w:pPr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限额设计，单方造价可控，材料选型经济耐用，便于后期维护</w:t>
            </w:r>
          </w:p>
        </w:tc>
      </w:tr>
      <w:tr w14:paraId="4BBE0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1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9E06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lang w:val="en-US" w:eastAsia="zh-CN"/>
              </w:rPr>
              <w:t>6</w:t>
            </w:r>
          </w:p>
        </w:tc>
        <w:tc>
          <w:tcPr>
            <w:tcW w:w="115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6575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可持续性</w:t>
            </w:r>
          </w:p>
        </w:tc>
        <w:tc>
          <w:tcPr>
            <w:tcW w:w="74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1A36D">
            <w:pPr>
              <w:rPr>
                <w:rFonts w:hint="eastAsia" w:ascii="方正仿宋_GB2312" w:hAnsi="方正仿宋_GB2312" w:eastAsia="方正仿宋_GB2312" w:cs="方正仿宋_GB2312"/>
                <w:color w:val="auto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</w:rPr>
              <w:t>考虑未来扩展和更新，预留接口，采用环保可回收材料</w:t>
            </w:r>
          </w:p>
        </w:tc>
      </w:tr>
    </w:tbl>
    <w:p w14:paraId="3A94DF4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2.3 现场踏勘</w:t>
      </w:r>
    </w:p>
    <w:p w14:paraId="0F5418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人自行前往项目现场进行踏勘，充分了解现场条件、空间尺度、现有管线、结构限制等情况，并在设计方案中予以响应。采购人不统一组织踏勘，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人因自身原因未进行现场踏勘而导致的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失误，由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人自行承担责任。</w:t>
      </w:r>
    </w:p>
    <w:p w14:paraId="6207C8F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三、设计任务书</w:t>
      </w:r>
    </w:p>
    <w:p w14:paraId="21E434E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3.1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导视标识系统一体化设计内容</w:t>
      </w:r>
    </w:p>
    <w:p w14:paraId="1A0D573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本项目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导视标识系统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设计是“全院标识文化一体化”的核心组成部分，须与空间、景观、文化内容统筹考虑、统一设计。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导视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标识系统应以“生育友好、儿童友好”为统领，构建层级清晰、信息准确、视觉亲和、安全耐用的导视体系，覆盖户外总体导视、楼宇及楼层索引、科室及功能导视、温馨提示与科普宣传、无障碍及安全标识等全类别。</w:t>
      </w:r>
    </w:p>
    <w:p w14:paraId="58080A0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）标识设计通则</w:t>
      </w:r>
    </w:p>
    <w:p w14:paraId="623D7D5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标识设计应遵循下列通则，确保全院标识系统风格统一、识别一致、安全可靠：</w:t>
      </w:r>
    </w:p>
    <w:p w14:paraId="2D580FE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风格统一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：在现有视觉识别体系（VI）基础上进行系统升级，梳理并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沿用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院名标准字、图形符号语言、中英文字体层级等核心视觉资产，查漏补缺、统一规范，形成升级版《全院标识系统设计手册》，作为后续制作实施的统一依据。</w:t>
      </w:r>
    </w:p>
    <w:p w14:paraId="709652A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色彩体系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：以温馨、亲和、明快的色彩为主基调，契合“生育友好、儿童友好”理念；儿童活动及相关区域可适当引入活泼色彩与卡通图形，医疗功能区域宜沉稳克制，避免视觉干扰。</w:t>
      </w:r>
    </w:p>
    <w:p w14:paraId="7CCCB9C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图形符号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：优先采用国际通用公共信息图形符号（GB/T 10001 系列），结合医院特色进行适度创意化设计；图形简洁易懂，便于各年龄段识别。</w:t>
      </w:r>
    </w:p>
    <w:p w14:paraId="414CA59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尺度与高度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：标识安装高度应兼顾成人、儿童及轮椅使用者视域，儿童相关区域增设低位儿童视区标识。</w:t>
      </w:r>
    </w:p>
    <w:p w14:paraId="0B30F68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材质与工艺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：户外标识应选用耐候、防锈、抗紫外线的材质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内容更换便捷，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室内标识应环保、无毒、易清洁；所有标识边角应做圆角或倒角处理，避免锐角伤人。</w:t>
      </w:r>
    </w:p>
    <w:p w14:paraId="7644CBD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夜间与应急：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  <w:t>户外及主要通道标识应具备夜间可视性（自发光、背发光或外部辅助照明）；应急疏散标识须采用符合消防要求的蓄光/常亮形式。</w:t>
      </w:r>
    </w:p>
    <w:p w14:paraId="1AAC811B">
      <w:pPr>
        <w:rPr>
          <w:rFonts w:hint="eastAsia"/>
          <w:color w:val="auto"/>
        </w:rPr>
      </w:pPr>
    </w:p>
    <w:p w14:paraId="43E1C510">
      <w:pPr>
        <w:rPr>
          <w:rFonts w:hint="eastAsia"/>
          <w:color w:val="auto"/>
          <w:lang w:val="en-US" w:eastAsia="zh-CN"/>
        </w:rPr>
      </w:pPr>
    </w:p>
    <w:p w14:paraId="595B4FB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 xml:space="preserve">3.2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重点点位设计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概念</w:t>
      </w:r>
    </w:p>
    <w:p w14:paraId="4BB76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（1）新旧楼交接部分的一二楼平台（含喷水池中庭花园）</w:t>
      </w:r>
    </w:p>
    <w:p w14:paraId="48B25A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医院交通枢纽和视觉焦点，是连接新旧楼的主要通道。</w:t>
      </w:r>
    </w:p>
    <w:p w14:paraId="348FBE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围绕“生育友好、儿童友好”理念，打造兼具通行效率与情感温度的空间体验。注重空间开放性、通透性和趣味性，融入自然元素和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科普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互动可能性，使途经人群感受到温馨、愉悦的氛围。</w:t>
      </w:r>
    </w:p>
    <w:p w14:paraId="02E40D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（2）3号楼前花园及一楼大堂</w:t>
      </w:r>
    </w:p>
    <w:p w14:paraId="29B880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医院主入口之一，承担分流和形象展示功能。</w:t>
      </w:r>
    </w:p>
    <w:p w14:paraId="47152E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营造亲切、友好的入口氛围。大堂空间注重秩序感与引导性，文化长廊则作为医院文化传播的载体，展现医院历史底蕴和人文关怀。整体风格统一，富有识别度。</w:t>
      </w:r>
    </w:p>
    <w:p w14:paraId="014598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（3）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eastAsia="zh-CN"/>
        </w:rPr>
        <w:t>儿童健康大楼6楼连廊、两侧平台花园</w:t>
      </w:r>
    </w:p>
    <w:p w14:paraId="1DE453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住院部高层休憩空间，面向产妇及家属。</w:t>
      </w:r>
    </w:p>
    <w:p w14:paraId="2C3CBC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打造宁静、舒适的空中休憩场所，强调私密性与亲近自然的感受。考虑母婴群体的特殊需求，营造放松、疗愈的环境氛围，成为住院期间的“心灵驿站”。</w:t>
      </w:r>
    </w:p>
    <w:p w14:paraId="1EC433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（4）正门（北门）和东侧门门楼区</w:t>
      </w:r>
    </w:p>
    <w:p w14:paraId="400418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医院对外形象门户。</w:t>
      </w:r>
    </w:p>
    <w:p w14:paraId="7F3418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以简洁、现代、亲和的风格塑造医院第一印象。门楼设计应具有标志性和辨识度，夜间照明需兼顾功能性与氛围营造。</w:t>
      </w:r>
    </w:p>
    <w:p w14:paraId="18722F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（5）1号楼门诊大堂及门口区域</w:t>
      </w:r>
    </w:p>
    <w:p w14:paraId="5297E5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门诊人流集中区域，需高效引导。</w:t>
      </w:r>
    </w:p>
    <w:p w14:paraId="38D0C7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以清晰的动线组织和友好的空间语言回应大量人流的需求。注重色彩、光线和材质的运用，缓解就医焦虑情绪。门口区域考虑无障碍通行和婴儿车停放等便民细节。</w:t>
      </w:r>
    </w:p>
    <w:p w14:paraId="45761D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（6）十二生肖广场</w:t>
      </w:r>
    </w:p>
    <w:p w14:paraId="308852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医院特色文化广场，兼具儿童娱乐和教育功能。</w:t>
      </w:r>
    </w:p>
    <w:p w14:paraId="754DBD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以传统文化为灵感，创造寓教于乐的户外互动空间。鼓励儿童探索和游戏，同时融入科普教育元素，使广场成为家庭等候和亲子互动的理想场所。</w:t>
      </w:r>
    </w:p>
    <w:p w14:paraId="1DE153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（7）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儿童健康大楼2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val="en-US" w:eastAsia="zh-CN"/>
        </w:rPr>
        <w:t>楼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背景墙</w:t>
      </w:r>
    </w:p>
    <w:p w14:paraId="6EAD2B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垂直交通枢纽处的视觉焦点。</w:t>
      </w:r>
    </w:p>
    <w:p w14:paraId="080915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以艺术化的手法呈现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两个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“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友好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”的主题，成为空间中的点睛之笔。材质和灯光的选择应注重层次感和感染力，白天与夜晚呈现不同的视觉效果。</w:t>
      </w:r>
    </w:p>
    <w:p w14:paraId="088474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）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  <w:lang w:val="en-US" w:eastAsia="zh-CN"/>
        </w:rPr>
        <w:t>院内连廊</w:t>
      </w:r>
    </w:p>
    <w:p w14:paraId="7A240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定位：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院内各楼栋之间的水平交通纽带，串联主要功能区的“风雨连廊”，承担全天候无障碍通行及空间过渡功能。</w:t>
      </w:r>
    </w:p>
    <w:p w14:paraId="60ED44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0"/>
          <w:szCs w:val="30"/>
        </w:rPr>
        <w:t>设计概念：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注重无障碍细节设计，保障婴儿车及轮椅顺畅通行。融入趣味导向标识、科普插画或互动装置，将通行路径转化为微型艺术长廊，缓解步行疲劳与就医</w:t>
      </w:r>
      <w:bookmarkStart w:id="0" w:name="_GoBack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焦虑</w:t>
      </w:r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0"/>
          <w:szCs w:val="30"/>
          <w:lang w:eastAsia="zh-CN"/>
        </w:rPr>
        <w:t>。</w:t>
      </w:r>
    </w:p>
    <w:p w14:paraId="24B8283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3.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设计内容与深度要求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95"/>
        <w:gridCol w:w="2305"/>
        <w:gridCol w:w="2560"/>
        <w:gridCol w:w="2500"/>
      </w:tblGrid>
      <w:tr w14:paraId="6096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FF49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设计阶段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4CC9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工作内容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426A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深度要求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A0A9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交付成果</w:t>
            </w:r>
          </w:p>
        </w:tc>
      </w:tr>
      <w:tr w14:paraId="6A31A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7B63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方案设计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0152D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概念构思、总平面布局、重点区域效果图、设计说明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F1511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达到报规深度，满足评审需要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5ABC8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方案文本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纸质版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、电子版、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设计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源文件</w:t>
            </w:r>
          </w:p>
        </w:tc>
      </w:tr>
      <w:tr w14:paraId="29591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69A38">
            <w:pPr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整体设计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E1CFC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各专业设计图纸、材料清单、概算书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9149B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满足初步设计审查要求，概算误差≤10%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B24B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设计图纸、概算书</w:t>
            </w:r>
          </w:p>
        </w:tc>
      </w:tr>
      <w:tr w14:paraId="452C1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D1227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施工阶段驻场配合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12D74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设计交底、图纸会审、材料选样、现场技术指导、变更签证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75FCE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每周至少驻场2天，关键工序全程在场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6641E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现场服务记录、变更通知单</w:t>
            </w:r>
          </w:p>
        </w:tc>
      </w:tr>
      <w:tr w14:paraId="7576C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A8F0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制作落地竣工验收及结算配合</w:t>
            </w:r>
          </w:p>
        </w:tc>
        <w:tc>
          <w:tcPr>
            <w:tcW w:w="230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E174D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参与制作落地竣工验收、出具设计符合性意见、配合结算审核</w:t>
            </w:r>
          </w:p>
        </w:tc>
        <w:tc>
          <w:tcPr>
            <w:tcW w:w="25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0D8C0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直至制作落地项目通过竣工验收并完成结算</w:t>
            </w:r>
          </w:p>
        </w:tc>
        <w:tc>
          <w:tcPr>
            <w:tcW w:w="25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2356BD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制作落地竣工验收报告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  <w:t>、设计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意见、结算配合记录</w:t>
            </w:r>
          </w:p>
        </w:tc>
      </w:tr>
    </w:tbl>
    <w:p w14:paraId="6A7B8E5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atLeas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3.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 设计周期要求</w:t>
      </w:r>
    </w:p>
    <w:p w14:paraId="2D9AF9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atLeas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根据《全院标识文化一体化项目工期进度表》，设计周期安排如下：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3960"/>
        <w:gridCol w:w="2400"/>
      </w:tblGrid>
      <w:tr w14:paraId="7B3D0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E85D3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阶段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AF90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起止时间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6DEC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工期</w:t>
            </w:r>
          </w:p>
        </w:tc>
      </w:tr>
      <w:tr w14:paraId="3E17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3A37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现场踏勘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2D55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中标后第1周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291E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7天</w:t>
            </w:r>
          </w:p>
        </w:tc>
      </w:tr>
      <w:tr w14:paraId="35AE9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34D2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完整设计方案编制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9E7B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2026年1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底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5FB7C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60天</w:t>
            </w:r>
          </w:p>
        </w:tc>
      </w:tr>
      <w:tr w14:paraId="11BD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5B23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方案中期汇报与调整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6335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2027年1月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底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FE35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天</w:t>
            </w:r>
          </w:p>
        </w:tc>
      </w:tr>
      <w:tr w14:paraId="6883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8617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方案终期汇报与审批定稿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7BBD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2027年2月上旬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207F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5天</w:t>
            </w:r>
          </w:p>
        </w:tc>
      </w:tr>
      <w:tr w14:paraId="32AB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0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B8D6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设计方案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图纸设计</w:t>
            </w:r>
          </w:p>
        </w:tc>
        <w:tc>
          <w:tcPr>
            <w:tcW w:w="396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AA17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2027年2月中旬至3月底</w:t>
            </w:r>
          </w:p>
        </w:tc>
        <w:tc>
          <w:tcPr>
            <w:tcW w:w="240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6A17E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45天</w:t>
            </w:r>
          </w:p>
        </w:tc>
      </w:tr>
    </w:tbl>
    <w:p w14:paraId="64A53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以上时间节点自中标通知书发出之日起计算，具体以合同约定为准。</w:t>
      </w:r>
    </w:p>
    <w:p w14:paraId="1C08103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四、成果交付要求</w:t>
      </w:r>
    </w:p>
    <w:p w14:paraId="7F8DE7B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4.1 分阶段成果清单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67"/>
        <w:gridCol w:w="4396"/>
        <w:gridCol w:w="2297"/>
      </w:tblGrid>
      <w:tr w14:paraId="76E06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7F76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阶段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23A80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交付物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99003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2"/>
                <w:szCs w:val="22"/>
              </w:rPr>
              <w:t>数量</w:t>
            </w:r>
          </w:p>
        </w:tc>
      </w:tr>
      <w:tr w14:paraId="66E1A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0400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方案设计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70C8D5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设计说明、总平面图、各层平面图、重点区域效果图（不少于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张）、材料意向图片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3D81C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纸质版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套</w:t>
            </w:r>
          </w:p>
          <w:p w14:paraId="3997CCF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电子版1套</w:t>
            </w:r>
          </w:p>
        </w:tc>
      </w:tr>
      <w:tr w14:paraId="43DD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BA6F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方案初步设计、深化设计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B13D3A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设计图纸、材料清单、概算书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6B91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纸质版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套</w:t>
            </w:r>
          </w:p>
          <w:p w14:paraId="2FF6D72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电子版1套</w:t>
            </w:r>
          </w:p>
        </w:tc>
      </w:tr>
      <w:tr w14:paraId="2A39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4C17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驻场服务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E87C3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现场服务日志、设计变更单、材料确认单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C4C3F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按需</w:t>
            </w:r>
          </w:p>
        </w:tc>
      </w:tr>
      <w:tr w14:paraId="4E9C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437B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制作落地竣工配合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B739E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设计符合性报告、结算审核配合文件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99DD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各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份</w:t>
            </w:r>
          </w:p>
        </w:tc>
      </w:tr>
      <w:tr w14:paraId="53A06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66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F7704">
            <w:pPr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儿童健康大楼导视系统深化设计专篇</w:t>
            </w:r>
          </w:p>
        </w:tc>
        <w:tc>
          <w:tcPr>
            <w:tcW w:w="4396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76127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含纸质版及电子版，电子版须包含可编辑的源文件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效果图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2297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B389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纸质版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套</w:t>
            </w:r>
          </w:p>
          <w:p w14:paraId="2AB4DAB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2"/>
                <w:szCs w:val="22"/>
              </w:rPr>
              <w:t>电子版1套</w:t>
            </w:r>
          </w:p>
        </w:tc>
      </w:tr>
    </w:tbl>
    <w:p w14:paraId="3F66DFE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4.2 知识产权归属</w:t>
      </w:r>
    </w:p>
    <w:p w14:paraId="5F3D596F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采购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单位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（江门市妇幼保健院）拥有本项目所有设计成果的永久使用权，包括但不限于复制、修改、出版、展览、宣传、施工等权利。</w:t>
      </w:r>
    </w:p>
    <w:p w14:paraId="293E2BFA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中标设计单位保留署名权，可在作品适当位置标注设计单位名称。</w:t>
      </w:r>
    </w:p>
    <w:p w14:paraId="2EC9751C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未经采购人书面同意，中标单位不得将设计成果用于与本项目无关的其他用途。</w:t>
      </w:r>
    </w:p>
    <w:p w14:paraId="5C8A0C5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4.3 原创性与侵权责任</w:t>
      </w:r>
    </w:p>
    <w:p w14:paraId="6566AFAB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设计单位应保证其提供的所有设计成果（包括但不限于图形、文字、照片、字体、插画、色彩组合等）均为原创或已获得合法授权，不侵犯任何第三方的知识产权及其他合法权益。</w:t>
      </w:r>
    </w:p>
    <w:p w14:paraId="5A4130A3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如因设计成果侵犯第三方合法权益而导致任何纠纷、索赔或诉讼，由此产生的一切法律责任和经济损失（包括但不限于赔偿金、律师费、诉讼费、仲裁费、鉴定费等）均由设计单位承担，采购人有权向设计单位追偿全部损失。</w:t>
      </w:r>
    </w:p>
    <w:p w14:paraId="06C47A2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五、服务要求与驻场配合</w:t>
      </w:r>
    </w:p>
    <w:p w14:paraId="50D9245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5.1 项目团队要求</w:t>
      </w:r>
    </w:p>
    <w:p w14:paraId="3963A4AA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团队应配备具备相应设计能力的专业人员，包括但不限于主创设计师、深化设计师、效果图设计师等，确保设计质量和进度。</w:t>
      </w:r>
    </w:p>
    <w:p w14:paraId="570C1B9E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项目负责人及各专业负责人须全程参与项目，未经采购人同意不得更换。</w:t>
      </w:r>
    </w:p>
    <w:p w14:paraId="6104AA5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 xml:space="preserve">5.2 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后续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驻场服务要求</w:t>
      </w:r>
    </w:p>
    <w:p w14:paraId="70B0B210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制作施工阶段，设计单位须派常驻现场代表至少1人，具备中级以上职称，能够及时处理现场设计问题。关键节点（如设计交底、材料封样确认、竣工验收）须有设计负责人到场。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驻场人员食宿自理，采购人提供办公场地。</w:t>
      </w:r>
    </w:p>
    <w:p w14:paraId="157357B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5.3 制作标期间技术支持</w:t>
      </w:r>
    </w:p>
    <w:p w14:paraId="5EF52F20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设计单位须在制作标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采购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期间提供技术支持，包括参与技术答疑、协助审核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文件中的技术方案、解答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人疑问等。</w:t>
      </w:r>
    </w:p>
    <w:p w14:paraId="10196C58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设计单位须对制作标中标单位的施工图（深化图纸）进行审核确认，确保符合原设计意图。</w:t>
      </w:r>
    </w:p>
    <w:p w14:paraId="66900D8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六、保密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  <w:t>要求</w:t>
      </w:r>
    </w:p>
    <w:p w14:paraId="5EF4D06E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人在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及项目实施过程中知悉的采购人所有信息（包括但不限于建筑图纸、功能需求、医疗数据、内部管理信息等）均属于保密信息。</w:t>
      </w:r>
    </w:p>
    <w:p w14:paraId="622CEE29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未经采购人书面许可，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人不得向任何第三方泄露，也不得用于本项目以外的其他目的。</w:t>
      </w:r>
    </w:p>
    <w:p w14:paraId="522671B5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违反保密义务的，采购人有权追究法律责任并要求赔偿损失。</w:t>
      </w:r>
    </w:p>
    <w:p w14:paraId="13A39A7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七、商务要求</w:t>
      </w:r>
    </w:p>
    <w:p w14:paraId="1F8384E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7.1 资格条件</w:t>
      </w:r>
    </w:p>
    <w:tbl>
      <w:tblPr>
        <w:tblStyle w:val="1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65"/>
        <w:gridCol w:w="7995"/>
      </w:tblGrid>
      <w:tr w14:paraId="5AF80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36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F571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highlight w:val="none"/>
              </w:rPr>
              <w:t>项目</w:t>
            </w:r>
          </w:p>
        </w:tc>
        <w:tc>
          <w:tcPr>
            <w:tcW w:w="7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3BB2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highlight w:val="none"/>
              </w:rPr>
              <w:t>要求</w:t>
            </w:r>
          </w:p>
        </w:tc>
      </w:tr>
      <w:tr w14:paraId="6B5CE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77CE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必备资质</w:t>
            </w:r>
          </w:p>
        </w:tc>
        <w:tc>
          <w:tcPr>
            <w:tcW w:w="7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AB029">
            <w:pP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建筑装饰工程设计专项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val="en-US" w:eastAsia="zh-CN"/>
              </w:rPr>
              <w:t>乙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级资质</w:t>
            </w:r>
          </w:p>
        </w:tc>
      </w:tr>
      <w:tr w14:paraId="549D2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5792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团队配置</w:t>
            </w:r>
          </w:p>
        </w:tc>
        <w:tc>
          <w:tcPr>
            <w:tcW w:w="7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2F6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0D28F">
            <w:pPr>
              <w:rPr>
                <w:rFonts w:hint="default" w:ascii="方正仿宋_GB2312" w:hAnsi="方正仿宋_GB2312" w:eastAsia="方正仿宋_GB2312" w:cs="方正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各专业人员齐全，项目负责人及各专业负责人须为本单位在职人员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val="en-US" w:eastAsia="zh-CN"/>
              </w:rPr>
              <w:t>展示团队均为实施项目团队</w:t>
            </w:r>
          </w:p>
        </w:tc>
      </w:tr>
      <w:tr w14:paraId="33D2E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96BC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禁止条款</w:t>
            </w:r>
          </w:p>
        </w:tc>
        <w:tc>
          <w:tcPr>
            <w:tcW w:w="7995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98868">
            <w:pP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不接受联合体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eastAsia="zh-CN"/>
              </w:rPr>
              <w:t>响应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</w:rPr>
              <w:t>；单位负责人为同一人或存在控股、管理关系的不同单位，不得同时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highlight w:val="none"/>
                <w:lang w:eastAsia="zh-CN"/>
              </w:rPr>
              <w:t>响应</w:t>
            </w:r>
          </w:p>
        </w:tc>
      </w:tr>
    </w:tbl>
    <w:p w14:paraId="56ABAE0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left="0" w:firstLine="602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highlight w:val="none"/>
        </w:rPr>
        <w:t>7.2 报价要求</w:t>
      </w:r>
    </w:p>
    <w:p w14:paraId="4E798ACC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报价应为完成本采购需求全部内容的含税总价，包括设计费、差旅费、驻场费、税费等一切费用。</w:t>
      </w:r>
    </w:p>
    <w:p w14:paraId="5539664C"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响应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人应充分考虑项目复杂性及现场配合工作量，合理报价。低于成本价的报价将被认定为异常低价，可能被否决。</w:t>
      </w:r>
    </w:p>
    <w:p w14:paraId="17CB304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</w:rPr>
        <w:t>八、评标办法</w:t>
      </w:r>
    </w:p>
    <w:p w14:paraId="5CB3D4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本项目采用综合评估法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具体分值权重及详细评分标准详见附件。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72C954-D9BD-4280-830B-BD3D2991F7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B3119D0-B8F3-429C-A457-C5FD584BCB6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F2ECD43-5730-4B68-B009-FA38F7DE20D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345ED">
    <w:pPr>
      <w:jc w:val="center"/>
    </w:pPr>
    <w: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207A14"/>
    <w:rsid w:val="009C15CF"/>
    <w:rsid w:val="00CD79DA"/>
    <w:rsid w:val="0198489A"/>
    <w:rsid w:val="01A30E5C"/>
    <w:rsid w:val="02272D62"/>
    <w:rsid w:val="02EB05EB"/>
    <w:rsid w:val="0321637C"/>
    <w:rsid w:val="033C0E47"/>
    <w:rsid w:val="034F71B9"/>
    <w:rsid w:val="03EE0393"/>
    <w:rsid w:val="03EE2141"/>
    <w:rsid w:val="042446F9"/>
    <w:rsid w:val="045567A9"/>
    <w:rsid w:val="05061752"/>
    <w:rsid w:val="05453E88"/>
    <w:rsid w:val="05725654"/>
    <w:rsid w:val="057E12A3"/>
    <w:rsid w:val="05B222AB"/>
    <w:rsid w:val="05C644A5"/>
    <w:rsid w:val="05FC070E"/>
    <w:rsid w:val="06DE29E2"/>
    <w:rsid w:val="083B44D3"/>
    <w:rsid w:val="08A92C56"/>
    <w:rsid w:val="099C7B92"/>
    <w:rsid w:val="09EA33AB"/>
    <w:rsid w:val="0A830604"/>
    <w:rsid w:val="0B971310"/>
    <w:rsid w:val="0BE429B8"/>
    <w:rsid w:val="0C2C216E"/>
    <w:rsid w:val="0CAB771F"/>
    <w:rsid w:val="0CB16402"/>
    <w:rsid w:val="0CC63D57"/>
    <w:rsid w:val="0CCA1507"/>
    <w:rsid w:val="0CDE5FC8"/>
    <w:rsid w:val="0D817B82"/>
    <w:rsid w:val="0E05748E"/>
    <w:rsid w:val="0EC56195"/>
    <w:rsid w:val="0ED939EE"/>
    <w:rsid w:val="0EE83C31"/>
    <w:rsid w:val="0EF6560F"/>
    <w:rsid w:val="0F130469"/>
    <w:rsid w:val="0FE97C61"/>
    <w:rsid w:val="10FC05D1"/>
    <w:rsid w:val="12051535"/>
    <w:rsid w:val="121340A3"/>
    <w:rsid w:val="126A4382"/>
    <w:rsid w:val="129B03ED"/>
    <w:rsid w:val="12A72E86"/>
    <w:rsid w:val="12EA61CA"/>
    <w:rsid w:val="12F069E1"/>
    <w:rsid w:val="132876B5"/>
    <w:rsid w:val="13366A55"/>
    <w:rsid w:val="138008DC"/>
    <w:rsid w:val="13C814B1"/>
    <w:rsid w:val="13DD5D2E"/>
    <w:rsid w:val="13FB7F63"/>
    <w:rsid w:val="14467430"/>
    <w:rsid w:val="149724C7"/>
    <w:rsid w:val="149E7F66"/>
    <w:rsid w:val="15852D62"/>
    <w:rsid w:val="159266A5"/>
    <w:rsid w:val="15AB60E4"/>
    <w:rsid w:val="15BB209F"/>
    <w:rsid w:val="160C46A9"/>
    <w:rsid w:val="16491459"/>
    <w:rsid w:val="170F71DB"/>
    <w:rsid w:val="178242ED"/>
    <w:rsid w:val="17B423BF"/>
    <w:rsid w:val="1811244B"/>
    <w:rsid w:val="18D21BDA"/>
    <w:rsid w:val="18E759E8"/>
    <w:rsid w:val="18E9007E"/>
    <w:rsid w:val="197B401F"/>
    <w:rsid w:val="19EE79E8"/>
    <w:rsid w:val="1A231FC1"/>
    <w:rsid w:val="1A8213DE"/>
    <w:rsid w:val="1AE0617C"/>
    <w:rsid w:val="1B3950CA"/>
    <w:rsid w:val="1B953987"/>
    <w:rsid w:val="1BAB0ADF"/>
    <w:rsid w:val="1BF61F9E"/>
    <w:rsid w:val="1C085C07"/>
    <w:rsid w:val="1C420E24"/>
    <w:rsid w:val="1C746B04"/>
    <w:rsid w:val="1C874A89"/>
    <w:rsid w:val="1C8925AF"/>
    <w:rsid w:val="1C8A68D6"/>
    <w:rsid w:val="1CE31E01"/>
    <w:rsid w:val="1D110334"/>
    <w:rsid w:val="1DEF6D8A"/>
    <w:rsid w:val="1EB12291"/>
    <w:rsid w:val="1EBF675C"/>
    <w:rsid w:val="1EF65EF6"/>
    <w:rsid w:val="1F0938A3"/>
    <w:rsid w:val="1F17303A"/>
    <w:rsid w:val="1F3C2CC8"/>
    <w:rsid w:val="1F3D4BD0"/>
    <w:rsid w:val="1F414CBA"/>
    <w:rsid w:val="1F5A597C"/>
    <w:rsid w:val="1F6333B5"/>
    <w:rsid w:val="1F75506D"/>
    <w:rsid w:val="1F775289"/>
    <w:rsid w:val="1FBA54F7"/>
    <w:rsid w:val="1FC41B50"/>
    <w:rsid w:val="1FE7099B"/>
    <w:rsid w:val="2012191F"/>
    <w:rsid w:val="201E5705"/>
    <w:rsid w:val="202C7E22"/>
    <w:rsid w:val="2032157F"/>
    <w:rsid w:val="20476A09"/>
    <w:rsid w:val="20745325"/>
    <w:rsid w:val="20DF30E6"/>
    <w:rsid w:val="21367194"/>
    <w:rsid w:val="215C477B"/>
    <w:rsid w:val="216C3187"/>
    <w:rsid w:val="21BE5ADD"/>
    <w:rsid w:val="21F42BC1"/>
    <w:rsid w:val="2245341D"/>
    <w:rsid w:val="227E692E"/>
    <w:rsid w:val="23957A8C"/>
    <w:rsid w:val="23D74548"/>
    <w:rsid w:val="24384D68"/>
    <w:rsid w:val="24696B33"/>
    <w:rsid w:val="248D10AB"/>
    <w:rsid w:val="256C6DEE"/>
    <w:rsid w:val="25706A02"/>
    <w:rsid w:val="259F65FF"/>
    <w:rsid w:val="25BD1FE8"/>
    <w:rsid w:val="25ED0053"/>
    <w:rsid w:val="264A646D"/>
    <w:rsid w:val="268D5392"/>
    <w:rsid w:val="26CF7759"/>
    <w:rsid w:val="27313F6F"/>
    <w:rsid w:val="27427F2B"/>
    <w:rsid w:val="277314C4"/>
    <w:rsid w:val="279C5E68"/>
    <w:rsid w:val="27A64924"/>
    <w:rsid w:val="27BF77CD"/>
    <w:rsid w:val="27E92A9C"/>
    <w:rsid w:val="28546167"/>
    <w:rsid w:val="29417EE1"/>
    <w:rsid w:val="29465D55"/>
    <w:rsid w:val="296138D0"/>
    <w:rsid w:val="296A3769"/>
    <w:rsid w:val="29E11D6A"/>
    <w:rsid w:val="29E277A3"/>
    <w:rsid w:val="2A723D8C"/>
    <w:rsid w:val="2AD1713D"/>
    <w:rsid w:val="2B4801B9"/>
    <w:rsid w:val="2B806902"/>
    <w:rsid w:val="2BAC0068"/>
    <w:rsid w:val="2BC37160"/>
    <w:rsid w:val="2BCD0DE9"/>
    <w:rsid w:val="2C862667"/>
    <w:rsid w:val="2C994A91"/>
    <w:rsid w:val="2D1E456A"/>
    <w:rsid w:val="2DD50DD1"/>
    <w:rsid w:val="2DE47530"/>
    <w:rsid w:val="2E3A0FCE"/>
    <w:rsid w:val="2E450300"/>
    <w:rsid w:val="2E8B21B7"/>
    <w:rsid w:val="2F195A15"/>
    <w:rsid w:val="2F57653D"/>
    <w:rsid w:val="2F662C24"/>
    <w:rsid w:val="2FCC6F2B"/>
    <w:rsid w:val="30E67B79"/>
    <w:rsid w:val="3158376A"/>
    <w:rsid w:val="315E0057"/>
    <w:rsid w:val="31723B02"/>
    <w:rsid w:val="31A55C86"/>
    <w:rsid w:val="31AA329C"/>
    <w:rsid w:val="31C51F22"/>
    <w:rsid w:val="328E671A"/>
    <w:rsid w:val="329A1838"/>
    <w:rsid w:val="32A324B5"/>
    <w:rsid w:val="32D27253"/>
    <w:rsid w:val="331A72C6"/>
    <w:rsid w:val="332C1A8F"/>
    <w:rsid w:val="338F44F8"/>
    <w:rsid w:val="349F4C0E"/>
    <w:rsid w:val="34E97C37"/>
    <w:rsid w:val="34F565DC"/>
    <w:rsid w:val="3516639D"/>
    <w:rsid w:val="35C67183"/>
    <w:rsid w:val="35D951DC"/>
    <w:rsid w:val="35F5260C"/>
    <w:rsid w:val="35FA7C22"/>
    <w:rsid w:val="35FC1BEC"/>
    <w:rsid w:val="36260A17"/>
    <w:rsid w:val="365D3DC6"/>
    <w:rsid w:val="370C2303"/>
    <w:rsid w:val="375515B4"/>
    <w:rsid w:val="37BF1F63"/>
    <w:rsid w:val="382A2A41"/>
    <w:rsid w:val="382C787F"/>
    <w:rsid w:val="38925A62"/>
    <w:rsid w:val="38E56D50"/>
    <w:rsid w:val="39573258"/>
    <w:rsid w:val="39A24859"/>
    <w:rsid w:val="39A405D1"/>
    <w:rsid w:val="39A53B63"/>
    <w:rsid w:val="3AFC4BC0"/>
    <w:rsid w:val="3BB91FE7"/>
    <w:rsid w:val="3BFF41E4"/>
    <w:rsid w:val="3C11605C"/>
    <w:rsid w:val="3C191058"/>
    <w:rsid w:val="3C3840D0"/>
    <w:rsid w:val="3C784C76"/>
    <w:rsid w:val="3C8100DA"/>
    <w:rsid w:val="3CB72D11"/>
    <w:rsid w:val="3CEF24AB"/>
    <w:rsid w:val="3DA24A4E"/>
    <w:rsid w:val="3DDA5C68"/>
    <w:rsid w:val="3E6B3412"/>
    <w:rsid w:val="3E726336"/>
    <w:rsid w:val="3F1F46EC"/>
    <w:rsid w:val="3F8D1F9F"/>
    <w:rsid w:val="3F9115F7"/>
    <w:rsid w:val="3FB92196"/>
    <w:rsid w:val="3FDC2791"/>
    <w:rsid w:val="3FFB26A8"/>
    <w:rsid w:val="40251D40"/>
    <w:rsid w:val="40C76DFB"/>
    <w:rsid w:val="40CB0B39"/>
    <w:rsid w:val="41793A61"/>
    <w:rsid w:val="41C366B1"/>
    <w:rsid w:val="41D103D1"/>
    <w:rsid w:val="41EB6656"/>
    <w:rsid w:val="42562684"/>
    <w:rsid w:val="426D634C"/>
    <w:rsid w:val="42D24401"/>
    <w:rsid w:val="4391543F"/>
    <w:rsid w:val="44444E8A"/>
    <w:rsid w:val="44983428"/>
    <w:rsid w:val="46BC33FE"/>
    <w:rsid w:val="47190850"/>
    <w:rsid w:val="47811F51"/>
    <w:rsid w:val="47FB4028"/>
    <w:rsid w:val="482C45B3"/>
    <w:rsid w:val="485C7545"/>
    <w:rsid w:val="48E35A95"/>
    <w:rsid w:val="49185BC5"/>
    <w:rsid w:val="49457F1A"/>
    <w:rsid w:val="49A477AC"/>
    <w:rsid w:val="49DF091C"/>
    <w:rsid w:val="4ACC5BD9"/>
    <w:rsid w:val="4B553E21"/>
    <w:rsid w:val="4B5824F7"/>
    <w:rsid w:val="4B6C4CC7"/>
    <w:rsid w:val="4BF057AE"/>
    <w:rsid w:val="4C4243A5"/>
    <w:rsid w:val="4C4D2D4A"/>
    <w:rsid w:val="4C983FC5"/>
    <w:rsid w:val="4D9D16E6"/>
    <w:rsid w:val="4DB27309"/>
    <w:rsid w:val="4E8642F1"/>
    <w:rsid w:val="4E9D1D67"/>
    <w:rsid w:val="4E9E163B"/>
    <w:rsid w:val="4F783370"/>
    <w:rsid w:val="4F7A7972"/>
    <w:rsid w:val="4F7B197C"/>
    <w:rsid w:val="4F905428"/>
    <w:rsid w:val="4FE63299"/>
    <w:rsid w:val="50A11FE0"/>
    <w:rsid w:val="50BC3E26"/>
    <w:rsid w:val="50C80BF1"/>
    <w:rsid w:val="51254295"/>
    <w:rsid w:val="5133250E"/>
    <w:rsid w:val="517861FE"/>
    <w:rsid w:val="519805C3"/>
    <w:rsid w:val="51BF0246"/>
    <w:rsid w:val="51C755AF"/>
    <w:rsid w:val="52554706"/>
    <w:rsid w:val="5299285F"/>
    <w:rsid w:val="529E039B"/>
    <w:rsid w:val="529F60F7"/>
    <w:rsid w:val="52A511EA"/>
    <w:rsid w:val="52CE2BDF"/>
    <w:rsid w:val="531D66D7"/>
    <w:rsid w:val="53394028"/>
    <w:rsid w:val="534E1882"/>
    <w:rsid w:val="53641814"/>
    <w:rsid w:val="53F97408"/>
    <w:rsid w:val="54373AB8"/>
    <w:rsid w:val="545F7ABE"/>
    <w:rsid w:val="547B36BF"/>
    <w:rsid w:val="54ED595D"/>
    <w:rsid w:val="5560481F"/>
    <w:rsid w:val="563C69A5"/>
    <w:rsid w:val="56BA5480"/>
    <w:rsid w:val="56EB388B"/>
    <w:rsid w:val="572C3407"/>
    <w:rsid w:val="57A52650"/>
    <w:rsid w:val="57AF493F"/>
    <w:rsid w:val="57E842D2"/>
    <w:rsid w:val="57E9261F"/>
    <w:rsid w:val="58241620"/>
    <w:rsid w:val="585115CB"/>
    <w:rsid w:val="58D81BED"/>
    <w:rsid w:val="58FD4C78"/>
    <w:rsid w:val="59103135"/>
    <w:rsid w:val="59771406"/>
    <w:rsid w:val="598B3556"/>
    <w:rsid w:val="5A272E2C"/>
    <w:rsid w:val="5A520A9F"/>
    <w:rsid w:val="5AC1599C"/>
    <w:rsid w:val="5C051E8C"/>
    <w:rsid w:val="5C166CB5"/>
    <w:rsid w:val="5C59248E"/>
    <w:rsid w:val="5C9934D4"/>
    <w:rsid w:val="5D013F78"/>
    <w:rsid w:val="5D094A6B"/>
    <w:rsid w:val="5D5F28DD"/>
    <w:rsid w:val="5D757F2A"/>
    <w:rsid w:val="5DD9443E"/>
    <w:rsid w:val="5EF07C91"/>
    <w:rsid w:val="5EF77143"/>
    <w:rsid w:val="60116CF1"/>
    <w:rsid w:val="60487659"/>
    <w:rsid w:val="607152D4"/>
    <w:rsid w:val="60B42F40"/>
    <w:rsid w:val="61140A35"/>
    <w:rsid w:val="61355C29"/>
    <w:rsid w:val="6155027F"/>
    <w:rsid w:val="615B0A11"/>
    <w:rsid w:val="61665FE8"/>
    <w:rsid w:val="61AB027B"/>
    <w:rsid w:val="61B57678"/>
    <w:rsid w:val="626D15F8"/>
    <w:rsid w:val="627112F3"/>
    <w:rsid w:val="627668F2"/>
    <w:rsid w:val="62C87B22"/>
    <w:rsid w:val="6336041D"/>
    <w:rsid w:val="63612F0B"/>
    <w:rsid w:val="63BE035D"/>
    <w:rsid w:val="642F52DB"/>
    <w:rsid w:val="64644411"/>
    <w:rsid w:val="64D8544F"/>
    <w:rsid w:val="64F8164D"/>
    <w:rsid w:val="6526041C"/>
    <w:rsid w:val="654266AF"/>
    <w:rsid w:val="655F791E"/>
    <w:rsid w:val="66456B14"/>
    <w:rsid w:val="668F2364"/>
    <w:rsid w:val="66A852F5"/>
    <w:rsid w:val="66AB26EF"/>
    <w:rsid w:val="68354966"/>
    <w:rsid w:val="686A0AB4"/>
    <w:rsid w:val="68DC4DE2"/>
    <w:rsid w:val="68F20AA9"/>
    <w:rsid w:val="69392234"/>
    <w:rsid w:val="69474951"/>
    <w:rsid w:val="699B374A"/>
    <w:rsid w:val="69C029FB"/>
    <w:rsid w:val="69FF7F8E"/>
    <w:rsid w:val="6A67795F"/>
    <w:rsid w:val="6B424106"/>
    <w:rsid w:val="6B453112"/>
    <w:rsid w:val="6B6F63E1"/>
    <w:rsid w:val="6B8F25DF"/>
    <w:rsid w:val="6BB2349B"/>
    <w:rsid w:val="6C9D0D2C"/>
    <w:rsid w:val="6D54763D"/>
    <w:rsid w:val="6D7101EF"/>
    <w:rsid w:val="6DD8201C"/>
    <w:rsid w:val="6DE704B1"/>
    <w:rsid w:val="6E102D2D"/>
    <w:rsid w:val="6E2E7E8E"/>
    <w:rsid w:val="6F152DFC"/>
    <w:rsid w:val="6F3D5903"/>
    <w:rsid w:val="6FE54D2C"/>
    <w:rsid w:val="70FC0717"/>
    <w:rsid w:val="710D6480"/>
    <w:rsid w:val="71902C0D"/>
    <w:rsid w:val="72073DE8"/>
    <w:rsid w:val="72340912"/>
    <w:rsid w:val="7238083E"/>
    <w:rsid w:val="72EE408F"/>
    <w:rsid w:val="72F83160"/>
    <w:rsid w:val="730B2E93"/>
    <w:rsid w:val="7349176E"/>
    <w:rsid w:val="73611C73"/>
    <w:rsid w:val="73745511"/>
    <w:rsid w:val="73D56FFD"/>
    <w:rsid w:val="74510D7A"/>
    <w:rsid w:val="749A05DB"/>
    <w:rsid w:val="753366D1"/>
    <w:rsid w:val="754E52B9"/>
    <w:rsid w:val="756F28E5"/>
    <w:rsid w:val="75982A7C"/>
    <w:rsid w:val="75C37A55"/>
    <w:rsid w:val="75F0011F"/>
    <w:rsid w:val="76766876"/>
    <w:rsid w:val="76CF41D8"/>
    <w:rsid w:val="78016613"/>
    <w:rsid w:val="781225CE"/>
    <w:rsid w:val="782F431C"/>
    <w:rsid w:val="79E40ED7"/>
    <w:rsid w:val="7A7B1FF9"/>
    <w:rsid w:val="7AF357C7"/>
    <w:rsid w:val="7B3311D9"/>
    <w:rsid w:val="7B364826"/>
    <w:rsid w:val="7B6C0247"/>
    <w:rsid w:val="7B713AB0"/>
    <w:rsid w:val="7B783090"/>
    <w:rsid w:val="7B9D54D1"/>
    <w:rsid w:val="7BE95D3C"/>
    <w:rsid w:val="7BF546E1"/>
    <w:rsid w:val="7C666627"/>
    <w:rsid w:val="7D2E7EAA"/>
    <w:rsid w:val="7D7B6E68"/>
    <w:rsid w:val="7D83508E"/>
    <w:rsid w:val="7DDB3462"/>
    <w:rsid w:val="7E3F67E4"/>
    <w:rsid w:val="7E9A331D"/>
    <w:rsid w:val="7EFE1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2"/>
      <w:szCs w:val="22"/>
    </w:rPr>
  </w:style>
  <w:style w:type="paragraph" w:styleId="2">
    <w:name w:val="heading 1"/>
    <w:next w:val="1"/>
    <w:qFormat/>
    <w:uiPriority w:val="0"/>
    <w:pPr>
      <w:spacing w:before="300" w:after="160"/>
      <w:outlineLvl w:val="0"/>
    </w:pPr>
    <w:rPr>
      <w:rFonts w:ascii="Times New Roman" w:hAnsi="Times New Roman" w:eastAsia="思源黑体" w:cs="Times New Roman"/>
      <w:b/>
      <w:bCs/>
      <w:color w:val="1F4E79"/>
      <w:sz w:val="30"/>
      <w:szCs w:val="30"/>
    </w:rPr>
  </w:style>
  <w:style w:type="paragraph" w:styleId="3">
    <w:name w:val="heading 2"/>
    <w:next w:val="1"/>
    <w:qFormat/>
    <w:uiPriority w:val="0"/>
    <w:pPr>
      <w:spacing w:before="180" w:after="100"/>
      <w:outlineLvl w:val="1"/>
    </w:pPr>
    <w:rPr>
      <w:rFonts w:ascii="Times New Roman" w:hAnsi="Times New Roman" w:eastAsia="思源黑体" w:cs="Times New Roman"/>
      <w:b/>
      <w:bCs/>
      <w:color w:val="2E75B6"/>
      <w:sz w:val="25"/>
      <w:szCs w:val="25"/>
    </w:rPr>
  </w:style>
  <w:style w:type="paragraph" w:styleId="4">
    <w:name w:val="heading 3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思源黑体" w:cs="Times New Roman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思源黑体" w:cs="Times New Roman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思源黑体" w:cs="Times New Roman"/>
      <w:color w:val="1F4D78"/>
      <w:sz w:val="22"/>
      <w:szCs w:val="2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9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1">
    <w:name w:val="Title"/>
    <w:qFormat/>
    <w:uiPriority w:val="0"/>
    <w:rPr>
      <w:rFonts w:ascii="Times New Roman" w:hAnsi="Times New Roman" w:eastAsia="思源黑体" w:cs="Times New Roman"/>
      <w:sz w:val="56"/>
      <w:szCs w:val="56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="Times New Roman" w:hAnsi="Times New Roman" w:eastAsia="思源黑体" w:cs="Times New Roman"/>
      <w:sz w:val="22"/>
      <w:szCs w:val="22"/>
    </w:rPr>
  </w:style>
  <w:style w:type="character" w:customStyle="1" w:styleId="18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2d860745-bf2b-4452-9561-c3abc271089e</errorID>
      <errorWord>焦虑</errorWord>
      <group>L1_Official</group>
      <groupName>公文格式问题</groupName>
      <ability>L2_Official</ability>
      <abilityName>公文要素检查</abilityName>
      <candidateList/>
      <explain>公文中禁止出现该词语</explain>
      <paraID>38D0C7D8</paraID>
      <start>49</start>
      <end>51</end>
      <status>unmodified</status>
      <modifiedWord/>
      <trackRevisions>false</trackRevisions>
    </reviewItem>
    <reviewItem>
      <errorID>09788fd0-8c7f-415b-8947-4e823a3b5e39</errorID>
      <errorWord>焦虑</errorWord>
      <group>L1_Official</group>
      <groupName>公文格式问题</groupName>
      <ability>L2_Official</ability>
      <abilityName>公文要素检查</abilityName>
      <candidateList/>
      <explain>公文中禁止出现该词语</explain>
      <paraID>60ED44E8</paraID>
      <start>71</start>
      <end>73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aa3d7a8-69e8-45d7-8191-77ec5edf55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3897</Words>
  <Characters>3962</Characters>
  <TotalTime>11</TotalTime>
  <ScaleCrop>false</ScaleCrop>
  <LinksUpToDate>false</LinksUpToDate>
  <CharactersWithSpaces>3987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2026-08-25T01:24:00Z</dcterms:created>
  <dc:creator>Un-named</dc:creator>
  <cp:lastModifiedBy>伍卓坚</cp:lastModifiedBy>
  <dcterms:modified xsi:type="dcterms:W3CDTF">2026-09-22T07:20:17Z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{"Label":"1","ContentProducer":"001191440300708461136T1WFUO","ProduceID":"050cec14c57ee2ed255949763c5c73ad-7Z83","ReservedCode1":"{\"Type\":\" TC260PG\",\"Version\":1,\"Bindings\":[{\"Type\":\"soft\",\"AlgID\":\"sm3\",\"Value\":\"b15f66a74e12495f8a5e4ab0dae2ff94ce8b1d342520f7b8dd5e8ee0022b46cd\"},{\"Type\":\"hash\",\"AlgID\":\"sm3\",\"Value\":\"e811d6dd3546ce9ce502812f8b60d1e84b91af236c263b1dbc48418e52283693\"}],\"PubSD\":[{\"Type\":\"DS\",\"AlgID\":\"sm2\",\"TBSData\":{\"Type\":\"Binding\",\"BType\":\"hash\"},\"Signature\":\"304402200f276eeaa2cc656aa350c0c95ac4262703842f51543304add0c69e1d347ceb03022032d99ebe0f5f4c290563ac63502a97e6391364b082def50fa07a6e70d3447e0a\"},{\"Type\":\"PubKey\",\"AlgID\":\"sm2\",\"KeyValue\":\"0407f79b28a17a752b3aae4305c98b48978213832729a2571850b1310b2bc9fe8fee039ccf25ebfeac27502414d9fcef792d777183c98893d226171c2f7a3289a2\"}],\"Extension\":{\"Timestamp\":1787621078,\"KeyVersion\":\"v1-TxLeOmf7bqU223\"}}","ContentPropagator":"001191440300708461136T1WFUO","PropagateID":"050cec14c57ee2ed255949763c5c73ad-7Z83","ReservedCode2":"{\"Type\":\" TC260PG\",\"Version\":1,\"Bindings\":[{\"Type\":\"soft\",\"AlgID\":\"sm3\",\"Value\":\"b15f66a74e12495f8a5e4ab0dae2ff94ce8b1d342520f7b8dd5e8ee0022b46cd\"},{\"Type\":\"hash\",\"AlgID\":\"sm3\",\"Value\":\"e811d6dd3546ce9ce502812f8b60d1e84b91af236c263b1dbc48418e52283693\"}],\"PubSD\":[{\"Type\":\"DS\",\"AlgID\":\"sm2\",\"TBSData\":{\"Type\":\"Binding\",\"BType\":\"hash\"},\"Signature\":\"30440220336fb257d1787d392371bd6efd69958190dc687b07ae20027974ef5e6d3adf25022035ca8cd612da81eb4a2e81a8e5291b5c5dc478f32fec9ff44189b3e2c0fcc37b\"},{\"Type\":\"PubKey\",\"AlgID\":\"sm2\",\"KeyValue\":\"0407f79b28a17a752b3aae4305c98b48978213832729a2571850b1310b2bc9fe8fee039ccf25ebfeac27502414d9fcef792d777183c98893d226171c2f7a3289a2\"}],\"Extension\":{\"Timestamp\":1787621078,\"KeyVersion\":\"v1-TxLeOmf7bqU223\"}}"}</vt:lpwstr>
  </property>
  <property fmtid="{D5CDD505-2E9C-101B-9397-08002B2CF9AE}" pid="3" name="KSOTemplateDocerSaveRecord">
    <vt:lpwstr>eyJoZGlkIjoiMGFkYTIxNGRjNWRjZTg5NWIxMjI1N2QzNWQ4ZTgwYTQiLCJ1c2VySWQiOiIyMjY0NjUzODUifQ==</vt:lpwstr>
  </property>
  <property fmtid="{D5CDD505-2E9C-101B-9397-08002B2CF9AE}" pid="4" name="KSOProductBuildVer">
    <vt:lpwstr>2052-12.1.0.28043</vt:lpwstr>
  </property>
  <property fmtid="{D5CDD505-2E9C-101B-9397-08002B2CF9AE}" pid="5" name="ICV">
    <vt:lpwstr>6CDD7D1043344C2291B84878D1CB0A7B_13</vt:lpwstr>
  </property>
</Properties>
</file>