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val="en-US" w:eastAsia="zh-CN"/>
        </w:rPr>
      </w:pPr>
      <w:r>
        <w:rPr>
          <w:rFonts w:hint="eastAsia" w:ascii="方正小标宋简体" w:hAnsi="方正小标宋简体" w:eastAsia="方正小标宋简体" w:cs="方正小标宋简体"/>
          <w:kern w:val="0"/>
          <w:sz w:val="32"/>
          <w:szCs w:val="32"/>
          <w:lang w:val="en-US" w:eastAsia="zh-CN"/>
        </w:rPr>
        <w:t>医学遗传中心肠癌甲基化基因检测外送项目（YW20260163</w:t>
      </w:r>
      <w:bookmarkStart w:id="0" w:name="_GoBack"/>
      <w:bookmarkEnd w:id="0"/>
      <w:r>
        <w:rPr>
          <w:rFonts w:hint="eastAsia" w:ascii="方正小标宋简体" w:hAnsi="方正小标宋简体" w:eastAsia="方正小标宋简体" w:cs="方正小标宋简体"/>
          <w:kern w:val="0"/>
          <w:sz w:val="32"/>
          <w:szCs w:val="32"/>
          <w:lang w:val="en-US" w:eastAsia="zh-CN"/>
        </w:rPr>
        <w:t>）</w:t>
      </w:r>
    </w:p>
    <w:tbl>
      <w:tblPr>
        <w:tblStyle w:val="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57" w:type="dxa"/>
          <w:left w:w="108" w:type="dxa"/>
          <w:bottom w:w="57" w:type="dxa"/>
          <w:right w:w="108" w:type="dxa"/>
        </w:tblCellMar>
      </w:tblPr>
      <w:tblGrid>
        <w:gridCol w:w="633"/>
        <w:gridCol w:w="870"/>
        <w:gridCol w:w="6702"/>
        <w:gridCol w:w="483"/>
        <w:gridCol w:w="858"/>
        <w:gridCol w:w="1333"/>
      </w:tblGrid>
      <w:tr w14:paraId="5417F5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tblHeader/>
          <w:jc w:val="center"/>
        </w:trPr>
        <w:tc>
          <w:tcPr>
            <w:tcW w:w="633" w:type="dxa"/>
            <w:shd w:val="clear" w:color="auto" w:fill="auto"/>
            <w:vAlign w:val="center"/>
          </w:tcPr>
          <w:p w14:paraId="51A882A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bidi="ar"/>
              </w:rPr>
              <w:t>项目</w:t>
            </w:r>
          </w:p>
        </w:tc>
        <w:tc>
          <w:tcPr>
            <w:tcW w:w="870" w:type="dxa"/>
            <w:shd w:val="clear" w:color="auto" w:fill="auto"/>
            <w:vAlign w:val="center"/>
          </w:tcPr>
          <w:p w14:paraId="4795678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bidi="ar"/>
              </w:rPr>
              <w:t>评标因素</w:t>
            </w:r>
          </w:p>
        </w:tc>
        <w:tc>
          <w:tcPr>
            <w:tcW w:w="6702" w:type="dxa"/>
            <w:shd w:val="clear" w:color="auto" w:fill="auto"/>
            <w:vAlign w:val="center"/>
          </w:tcPr>
          <w:p w14:paraId="0B1B3FE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0"/>
                <w:sz w:val="21"/>
                <w:szCs w:val="21"/>
                <w:lang w:bidi="ar"/>
              </w:rPr>
              <w:t>评分标准</w:t>
            </w:r>
          </w:p>
        </w:tc>
        <w:tc>
          <w:tcPr>
            <w:tcW w:w="483" w:type="dxa"/>
            <w:vAlign w:val="center"/>
          </w:tcPr>
          <w:p w14:paraId="2BAB717A">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kern w:val="0"/>
                <w:sz w:val="21"/>
                <w:szCs w:val="21"/>
                <w:lang w:bidi="ar"/>
              </w:rPr>
              <w:t>分值</w:t>
            </w:r>
          </w:p>
        </w:tc>
        <w:tc>
          <w:tcPr>
            <w:tcW w:w="858" w:type="dxa"/>
            <w:vAlign w:val="center"/>
          </w:tcPr>
          <w:p w14:paraId="6238568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sz w:val="21"/>
                <w:szCs w:val="21"/>
              </w:rPr>
              <w:t>自评分</w:t>
            </w:r>
          </w:p>
        </w:tc>
        <w:tc>
          <w:tcPr>
            <w:tcW w:w="1333" w:type="dxa"/>
            <w:vAlign w:val="center"/>
          </w:tcPr>
          <w:p w14:paraId="056DDCD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sz w:val="21"/>
                <w:szCs w:val="21"/>
                <w:highlight w:val="none"/>
              </w:rPr>
            </w:pPr>
            <w:r>
              <w:rPr>
                <w:rFonts w:hint="eastAsia" w:ascii="宋体" w:hAnsi="宋体" w:eastAsia="宋体" w:cs="宋体"/>
                <w:b/>
                <w:bCs/>
                <w:color w:val="000000"/>
                <w:sz w:val="21"/>
                <w:szCs w:val="21"/>
              </w:rPr>
              <w:t>佐证材料对应页码</w:t>
            </w:r>
          </w:p>
        </w:tc>
      </w:tr>
      <w:tr w14:paraId="5E49A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restart"/>
            <w:vAlign w:val="center"/>
          </w:tcPr>
          <w:p w14:paraId="25E7B769">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技术部分</w:t>
            </w:r>
          </w:p>
        </w:tc>
        <w:tc>
          <w:tcPr>
            <w:tcW w:w="870" w:type="dxa"/>
            <w:vAlign w:val="center"/>
          </w:tcPr>
          <w:p w14:paraId="5D43EE78">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重要技术参数响应情况</w:t>
            </w:r>
          </w:p>
        </w:tc>
        <w:tc>
          <w:tcPr>
            <w:tcW w:w="6702" w:type="dxa"/>
            <w:vAlign w:val="center"/>
          </w:tcPr>
          <w:p w14:paraId="5FE736F6">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投标人在投标文件中提供的服务完全满足招标文件采购需求中带“▲”的参数要求的得</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rPr>
              <w:t>分。每一项带“▲”的参数负偏离扣</w:t>
            </w: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rPr>
              <w:t>分，扣完本项分数为止。带“▲”的参数共</w:t>
            </w:r>
            <w:r>
              <w:rPr>
                <w:rFonts w:hint="eastAsia" w:ascii="宋体" w:hAnsi="宋体" w:eastAsia="宋体" w:cs="宋体"/>
                <w:sz w:val="21"/>
                <w:szCs w:val="21"/>
                <w:highlight w:val="none"/>
                <w:lang w:eastAsia="zh-CN"/>
              </w:rPr>
              <w:t>16</w:t>
            </w:r>
            <w:r>
              <w:rPr>
                <w:rFonts w:hint="eastAsia" w:ascii="宋体" w:hAnsi="宋体" w:eastAsia="宋体" w:cs="宋体"/>
                <w:sz w:val="21"/>
                <w:szCs w:val="21"/>
                <w:highlight w:val="none"/>
              </w:rPr>
              <w:t>个。注：1.对于如采购需求有要求提供具体证明材料的，以具体证明材料为准；2.如采购需求无明确要求提供的证明材料，则以投标人提供的《技术和服务要求响应表》响应情况为准；3.不按要求提供或提供不符的视为负偏离</w:t>
            </w:r>
          </w:p>
        </w:tc>
        <w:tc>
          <w:tcPr>
            <w:tcW w:w="483" w:type="dxa"/>
            <w:vAlign w:val="center"/>
          </w:tcPr>
          <w:p w14:paraId="572E1AA9">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w:t>
            </w:r>
          </w:p>
        </w:tc>
        <w:tc>
          <w:tcPr>
            <w:tcW w:w="858" w:type="dxa"/>
            <w:vAlign w:val="center"/>
          </w:tcPr>
          <w:p w14:paraId="6EABB1A8">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5F079B5B">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56B47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24B4B9E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29E92D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项目实施服务方案</w:t>
            </w:r>
          </w:p>
          <w:p w14:paraId="3C9D8B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6702" w:type="dxa"/>
            <w:vAlign w:val="center"/>
          </w:tcPr>
          <w:p w14:paraId="73BA38F2">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根据投标人提供的项目实施服务方案（包括但不限于标本检测流程、质量标准及保障措施、检测报告出具等）进行评审：</w:t>
            </w:r>
          </w:p>
          <w:p w14:paraId="7E514A5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1、项目实施服务方案完整，实施方法可行，满足招标要求，得5分；</w:t>
            </w:r>
          </w:p>
          <w:p w14:paraId="0AA70D8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2、项目实施服务方案较为完整，实施方法基本可行，满足招标要求，得3分；</w:t>
            </w:r>
          </w:p>
          <w:p w14:paraId="4932C70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3、项目实施服务方案基本完整，实施方法较为可行，部分满足要求，得1分；</w:t>
            </w:r>
          </w:p>
          <w:p w14:paraId="114F146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4、未提供方案不得分。</w:t>
            </w:r>
          </w:p>
        </w:tc>
        <w:tc>
          <w:tcPr>
            <w:tcW w:w="483" w:type="dxa"/>
            <w:vAlign w:val="center"/>
          </w:tcPr>
          <w:p w14:paraId="635EA94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2FF3ADB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4D32E70B">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3CE89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3E8BFE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4F27915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物流服务能力</w:t>
            </w:r>
          </w:p>
        </w:tc>
        <w:tc>
          <w:tcPr>
            <w:tcW w:w="6702" w:type="dxa"/>
            <w:vAlign w:val="center"/>
          </w:tcPr>
          <w:p w14:paraId="54408C37">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投标人具备CNAS货物运输条件鉴定书（包括道路、铁路、航空），每获得一个证书得1分，本项最高得3分。【注：须提供CNAS货物运输条件鉴定书复印件并加盖投标人公章，非投标人或投标人关联公司获得的证书或证明资料不得分；不提供或提供资料不符合要求的不得分。】</w:t>
            </w:r>
          </w:p>
          <w:p w14:paraId="781583C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投标人获得GB/T42186-2022《医学检验生物样本冷链物流运作规范》国家标准达标企业，得2分。【注：须提供GB/T42186-2022《医学检验生物样本冷链物流运作规范》国家标准达标企业证明文件或证书复印件，非投标人或投标人关联公司获得的证书或证明资料不得分；不提供或提供资料不符合要求的不得分。】</w:t>
            </w:r>
          </w:p>
          <w:p w14:paraId="14D8F86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投标人物流系统通过公安部信息系统安全等级保护三级或以上证明，得3分。【注：需提供物流系统安全等级保护备案证明复印件作为评分依据，非投标人或投标人关联公司获得的证书或证明资料不得分；不提供或提供资料不符合要求的不得分。】</w:t>
            </w:r>
          </w:p>
          <w:p w14:paraId="16CE093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投标人获得《道路运输经营许可证》，得3分；【注：以上证书等均需提供相关证明文件并加盖投标人公章，非投标人或投标人关联公司获得的证书或证明资料不得分；不提供或提供资料不符合要求的不得分。】</w:t>
            </w:r>
          </w:p>
          <w:p w14:paraId="1E68FBB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本项累计最高11分</w:t>
            </w:r>
          </w:p>
        </w:tc>
        <w:tc>
          <w:tcPr>
            <w:tcW w:w="483" w:type="dxa"/>
            <w:vAlign w:val="center"/>
          </w:tcPr>
          <w:p w14:paraId="05B6BD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w:t>
            </w:r>
          </w:p>
        </w:tc>
        <w:tc>
          <w:tcPr>
            <w:tcW w:w="858" w:type="dxa"/>
            <w:vAlign w:val="center"/>
          </w:tcPr>
          <w:p w14:paraId="2E421504">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1357822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4D7E4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00A7086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685B3D7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物流服务方案</w:t>
            </w:r>
          </w:p>
        </w:tc>
        <w:tc>
          <w:tcPr>
            <w:tcW w:w="6702" w:type="dxa"/>
            <w:vAlign w:val="center"/>
          </w:tcPr>
          <w:p w14:paraId="208B379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根据投标人提供的物流服务方案（包括但不限于标本收取、标本运输保管、物流保障措施等）进行评审：</w:t>
            </w:r>
          </w:p>
          <w:p w14:paraId="19468A8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1、物流服务方案能够完全符合医院情况设置，且方案完善可行、具体合理的得5分；</w:t>
            </w:r>
          </w:p>
          <w:p w14:paraId="0EFDF703">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2、物流服务方案能够基本符合医院情况设置，方案基本可行、基本合理的得3分；</w:t>
            </w:r>
          </w:p>
          <w:p w14:paraId="6630E59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3、物流服务方案能够基本符合医院情况设置，但方案可行性较差，不够合理的的得1分；</w:t>
            </w:r>
          </w:p>
          <w:p w14:paraId="29B8995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4、未提供方案不得分。</w:t>
            </w:r>
          </w:p>
        </w:tc>
        <w:tc>
          <w:tcPr>
            <w:tcW w:w="483" w:type="dxa"/>
            <w:vAlign w:val="center"/>
          </w:tcPr>
          <w:p w14:paraId="064375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453A82E7">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2C5CF51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7843D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0B76B7C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33EDAA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检验信息化服务能力</w:t>
            </w:r>
          </w:p>
        </w:tc>
        <w:tc>
          <w:tcPr>
            <w:tcW w:w="6702" w:type="dxa"/>
            <w:vAlign w:val="center"/>
          </w:tcPr>
          <w:p w14:paraId="4163C1AF">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为本项目配备的信息系统通过公安部信息系统安全等级保护三级或以上证明，得3分。【注：需提供信息系统安全等级保护备案证明复印件作为评分依据，非投标人或投标人关联公司获得的证书或证明资料不得分；不提供或提供资料不符合要求的不得分。】</w:t>
            </w:r>
          </w:p>
        </w:tc>
        <w:tc>
          <w:tcPr>
            <w:tcW w:w="483" w:type="dxa"/>
            <w:vAlign w:val="center"/>
          </w:tcPr>
          <w:p w14:paraId="5D5AA82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858" w:type="dxa"/>
            <w:vAlign w:val="center"/>
          </w:tcPr>
          <w:p w14:paraId="29D5394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3BB62AA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6DEA6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33" w:type="dxa"/>
            <w:vMerge w:val="continue"/>
            <w:vAlign w:val="center"/>
          </w:tcPr>
          <w:p w14:paraId="7F9789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3650B5F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检验信息化服务方案</w:t>
            </w:r>
          </w:p>
        </w:tc>
        <w:tc>
          <w:tcPr>
            <w:tcW w:w="6702" w:type="dxa"/>
            <w:vAlign w:val="center"/>
          </w:tcPr>
          <w:p w14:paraId="0C7AB02D">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投标人需具备医学信息化服务能力，根据投标人提供的检验信息服务方案（包括但不限于完善的信息系统、与医院的系统对接方案等）进行评审：</w:t>
            </w:r>
          </w:p>
          <w:p w14:paraId="322941E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1.医学信息化服务能力强，配备完善的信息系统，系统对接方案完整，可行性高，得5分；</w:t>
            </w:r>
          </w:p>
          <w:p w14:paraId="2455B839">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2.医学信息化服务能力较强，配备基本完善的信息系统，系统对接方案完整可行，得3分；</w:t>
            </w:r>
          </w:p>
          <w:p w14:paraId="10524CB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3.医学信息化服务能力有缺陷，信息系统不够完善，系统对接方案有偏差，得1分。</w:t>
            </w:r>
          </w:p>
          <w:p w14:paraId="73C27627">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4.未提供方案不得分。</w:t>
            </w:r>
          </w:p>
        </w:tc>
        <w:tc>
          <w:tcPr>
            <w:tcW w:w="483" w:type="dxa"/>
            <w:vAlign w:val="center"/>
          </w:tcPr>
          <w:p w14:paraId="3C83DED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2A6DA56E">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3875F279">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52BBF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0505BB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3A8F1F8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应急服务方案</w:t>
            </w:r>
          </w:p>
        </w:tc>
        <w:tc>
          <w:tcPr>
            <w:tcW w:w="6702" w:type="dxa"/>
            <w:vAlign w:val="center"/>
          </w:tcPr>
          <w:p w14:paraId="2541212F">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根据投标人提供的应急方案，（包括但不限于服务响应时间、实验室风险应急措施、生物安全事故应急处理措施等）进行评分：</w:t>
            </w:r>
          </w:p>
          <w:p w14:paraId="4F442B04">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1、投标人应急方案完整、合理，实施方法可行，完全满足且优于采购需求的，得5分；</w:t>
            </w:r>
          </w:p>
          <w:p w14:paraId="73797B52">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2、投标人应急方案较完整，实施方法基本可行，完全满足采购需求的，得3分；</w:t>
            </w:r>
          </w:p>
          <w:p w14:paraId="4D165063">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3、投标人应急方案不完善，实施方法差，对比存在较大差距的，部分满足采购需求，得1分；</w:t>
            </w:r>
          </w:p>
          <w:p w14:paraId="00873669">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4、未提供方案不得分。</w:t>
            </w:r>
          </w:p>
        </w:tc>
        <w:tc>
          <w:tcPr>
            <w:tcW w:w="483" w:type="dxa"/>
            <w:vAlign w:val="center"/>
          </w:tcPr>
          <w:p w14:paraId="5F89D91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22823BF3">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1BA6F0A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1FB74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6FB9AFD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73E1212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售后服务方案</w:t>
            </w:r>
          </w:p>
        </w:tc>
        <w:tc>
          <w:tcPr>
            <w:tcW w:w="6702" w:type="dxa"/>
            <w:vAlign w:val="center"/>
          </w:tcPr>
          <w:p w14:paraId="63BFB3E1">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根据投标人提供的售后服务方案（包括但不限于售后培训服务方案、售后结果查询、售后服务体系等）进行评审：</w:t>
            </w:r>
          </w:p>
          <w:p w14:paraId="6439C87D">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1、售后服务方案措施详细、与采购需求有密切关联性，完全满足采购需求的，得5分；</w:t>
            </w:r>
          </w:p>
          <w:p w14:paraId="5E80722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2、售后服务方案措施较详细、与采购需求有一定的关联性，得3分；</w:t>
            </w:r>
          </w:p>
          <w:p w14:paraId="2110746B">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3、售后服务方案一般、承诺的售后方案、措施不满足采购需求，与采购需求没有关联性，得1分；</w:t>
            </w:r>
          </w:p>
          <w:p w14:paraId="6AB9B419">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4、未提供方案不得分。</w:t>
            </w:r>
          </w:p>
        </w:tc>
        <w:tc>
          <w:tcPr>
            <w:tcW w:w="483" w:type="dxa"/>
            <w:vAlign w:val="center"/>
          </w:tcPr>
          <w:p w14:paraId="7D8C12B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0175321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26B0BDCF">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7B3553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restart"/>
            <w:vAlign w:val="center"/>
          </w:tcPr>
          <w:p w14:paraId="78CFC492">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商务部分</w:t>
            </w:r>
          </w:p>
        </w:tc>
        <w:tc>
          <w:tcPr>
            <w:tcW w:w="870" w:type="dxa"/>
            <w:vAlign w:val="center"/>
          </w:tcPr>
          <w:p w14:paraId="561979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同类项目业绩</w:t>
            </w:r>
          </w:p>
        </w:tc>
        <w:tc>
          <w:tcPr>
            <w:tcW w:w="6702" w:type="dxa"/>
            <w:vAlign w:val="center"/>
          </w:tcPr>
          <w:p w14:paraId="40828254">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2023年1月1日起至今（以合同签订日期为准）的检验外送业绩情况进行评分，每提供一份业绩得1分，最高得5分。注：需提供合同关键页（含签订合同双方的单位名称、项目名称与含签订合同双方的落款盖章）复印件作为评审依据，不提供不得分。</w:t>
            </w:r>
          </w:p>
        </w:tc>
        <w:tc>
          <w:tcPr>
            <w:tcW w:w="483" w:type="dxa"/>
            <w:vAlign w:val="center"/>
          </w:tcPr>
          <w:p w14:paraId="3DEA940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858" w:type="dxa"/>
            <w:vAlign w:val="center"/>
          </w:tcPr>
          <w:p w14:paraId="589B0A98">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5AB8411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699CA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5C334D1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6AAC822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拟投入人员情况</w:t>
            </w:r>
          </w:p>
        </w:tc>
        <w:tc>
          <w:tcPr>
            <w:tcW w:w="6702" w:type="dxa"/>
            <w:vAlign w:val="center"/>
          </w:tcPr>
          <w:p w14:paraId="65E1CD84">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根据投标人拟投入本项目的专业技术服务团队成员职称情况进行评审：</w:t>
            </w:r>
          </w:p>
          <w:p w14:paraId="1ADA954C">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1、具备临床医学检验相关专业副高或以上职称的，每提供1人得2分；</w:t>
            </w:r>
          </w:p>
          <w:p w14:paraId="4C7D0EED">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2、具备临床医学检验相关专业中级职称的，每提供1人得1分；</w:t>
            </w:r>
          </w:p>
          <w:p w14:paraId="56BFAD4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3、具备临床医学检验相关专业初级职称的，每提供1人得0.5分；</w:t>
            </w:r>
          </w:p>
          <w:p w14:paraId="3C16CC47">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本小项累计最高得12分。</w:t>
            </w:r>
          </w:p>
          <w:p w14:paraId="5B542D9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注：投标时须提供①人员清单②相关人员的职称证书复印件且相关人员在投标单位投标截止时间前近6个月内任意一个月的缴纳社保证明资料复印件或劳动合同复印件。③上述资料需加盖投标人公章，不提供不得分。】</w:t>
            </w:r>
          </w:p>
        </w:tc>
        <w:tc>
          <w:tcPr>
            <w:tcW w:w="483" w:type="dxa"/>
            <w:vAlign w:val="center"/>
          </w:tcPr>
          <w:p w14:paraId="4D0C8A2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w:t>
            </w:r>
          </w:p>
        </w:tc>
        <w:tc>
          <w:tcPr>
            <w:tcW w:w="858" w:type="dxa"/>
            <w:vAlign w:val="center"/>
          </w:tcPr>
          <w:p w14:paraId="0CCCA90B">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7BB83CD3">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7346F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Merge w:val="continue"/>
            <w:vAlign w:val="center"/>
          </w:tcPr>
          <w:p w14:paraId="10F564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p>
        </w:tc>
        <w:tc>
          <w:tcPr>
            <w:tcW w:w="870" w:type="dxa"/>
            <w:vAlign w:val="center"/>
          </w:tcPr>
          <w:p w14:paraId="3AD262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综合实力</w:t>
            </w:r>
          </w:p>
        </w:tc>
        <w:tc>
          <w:tcPr>
            <w:tcW w:w="6702" w:type="dxa"/>
            <w:vAlign w:val="center"/>
          </w:tcPr>
          <w:p w14:paraId="00C139A9">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1、投标人获得中国合格评定国家认可委员会实验室认可证书即ISO 15189认可证书得</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分。</w:t>
            </w:r>
          </w:p>
          <w:p w14:paraId="449F311A">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注：提供相关认证机构颁发的有效期内的认证证书扫描件或相关证明材料并加盖投标人公章，非投标人或投标人关联公司获得的证书或证明资料不得分；不提供或提供资料不符合要求的不得分。</w:t>
            </w:r>
          </w:p>
        </w:tc>
        <w:tc>
          <w:tcPr>
            <w:tcW w:w="483" w:type="dxa"/>
            <w:vAlign w:val="center"/>
          </w:tcPr>
          <w:p w14:paraId="5C96FFE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858" w:type="dxa"/>
            <w:vAlign w:val="center"/>
          </w:tcPr>
          <w:p w14:paraId="7B9591FC">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50B363B3">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r w14:paraId="38B8A5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57" w:type="dxa"/>
            <w:left w:w="108" w:type="dxa"/>
            <w:bottom w:w="57" w:type="dxa"/>
            <w:right w:w="108" w:type="dxa"/>
          </w:tblCellMar>
        </w:tblPrEx>
        <w:trPr>
          <w:jc w:val="center"/>
        </w:trPr>
        <w:tc>
          <w:tcPr>
            <w:tcW w:w="633" w:type="dxa"/>
            <w:vAlign w:val="center"/>
          </w:tcPr>
          <w:p w14:paraId="23D01B71">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投标报价</w:t>
            </w:r>
          </w:p>
        </w:tc>
        <w:tc>
          <w:tcPr>
            <w:tcW w:w="870" w:type="dxa"/>
            <w:vAlign w:val="center"/>
          </w:tcPr>
          <w:p w14:paraId="760A96A2">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6702" w:type="dxa"/>
            <w:vAlign w:val="center"/>
          </w:tcPr>
          <w:p w14:paraId="70A686B4">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c>
          <w:tcPr>
            <w:tcW w:w="483" w:type="dxa"/>
            <w:vAlign w:val="center"/>
          </w:tcPr>
          <w:p w14:paraId="12FE9617">
            <w:pPr>
              <w:pStyle w:val="16"/>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w:t>
            </w:r>
          </w:p>
        </w:tc>
        <w:tc>
          <w:tcPr>
            <w:tcW w:w="858" w:type="dxa"/>
            <w:vAlign w:val="center"/>
          </w:tcPr>
          <w:p w14:paraId="3BA97D06">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c>
          <w:tcPr>
            <w:tcW w:w="1333" w:type="dxa"/>
            <w:vAlign w:val="center"/>
          </w:tcPr>
          <w:p w14:paraId="4AE29AC5">
            <w:pPr>
              <w:pStyle w:val="16"/>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highlight w:val="none"/>
              </w:rPr>
            </w:pPr>
          </w:p>
        </w:tc>
      </w:tr>
    </w:tbl>
    <w:p w14:paraId="6DD227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val="en-US" w:eastAsia="zh-CN"/>
        </w:rPr>
      </w:pPr>
    </w:p>
    <w:p w14:paraId="25F6C03F">
      <w:pPr>
        <w:tabs>
          <w:tab w:val="left" w:pos="709"/>
        </w:tabs>
        <w:adjustRightInd w:val="0"/>
        <w:snapToGrid w:val="0"/>
        <w:spacing w:line="20" w:lineRule="exact"/>
        <w:jc w:val="left"/>
      </w:pPr>
    </w:p>
    <w:p w14:paraId="7C881CA1">
      <w:pPr>
        <w:tabs>
          <w:tab w:val="left" w:pos="709"/>
        </w:tabs>
        <w:adjustRightInd w:val="0"/>
        <w:snapToGrid w:val="0"/>
        <w:spacing w:line="20" w:lineRule="exact"/>
        <w:jc w:val="left"/>
      </w:pPr>
    </w:p>
    <w:p w14:paraId="6E9A574D">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5F53C332-94E8-46AF-AAF6-05E23390A7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A223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025417"/>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D1A5742"/>
    <w:rsid w:val="5E1C33F4"/>
    <w:rsid w:val="5E3B7AF9"/>
    <w:rsid w:val="5EAD4EE1"/>
    <w:rsid w:val="5FE22D60"/>
    <w:rsid w:val="60017D91"/>
    <w:rsid w:val="600942C6"/>
    <w:rsid w:val="606964BC"/>
    <w:rsid w:val="60CC2CDD"/>
    <w:rsid w:val="614E730A"/>
    <w:rsid w:val="636D582F"/>
    <w:rsid w:val="6395523F"/>
    <w:rsid w:val="63E818F6"/>
    <w:rsid w:val="646060BC"/>
    <w:rsid w:val="64617060"/>
    <w:rsid w:val="64A010A4"/>
    <w:rsid w:val="64C115D9"/>
    <w:rsid w:val="65A6536B"/>
    <w:rsid w:val="65D12A9B"/>
    <w:rsid w:val="65D16E38"/>
    <w:rsid w:val="661F281A"/>
    <w:rsid w:val="665477F1"/>
    <w:rsid w:val="66C22023"/>
    <w:rsid w:val="66E42BA0"/>
    <w:rsid w:val="6712692A"/>
    <w:rsid w:val="67361858"/>
    <w:rsid w:val="67953680"/>
    <w:rsid w:val="67ED1B11"/>
    <w:rsid w:val="685933BE"/>
    <w:rsid w:val="69783B7C"/>
    <w:rsid w:val="69AA1A66"/>
    <w:rsid w:val="69E63E4A"/>
    <w:rsid w:val="6AB06D96"/>
    <w:rsid w:val="6AD12B4E"/>
    <w:rsid w:val="6B560E7C"/>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2367</Words>
  <Characters>2433</Characters>
  <Lines>9</Lines>
  <Paragraphs>2</Paragraphs>
  <TotalTime>0</TotalTime>
  <ScaleCrop>false</ScaleCrop>
  <LinksUpToDate>false</LinksUpToDate>
  <CharactersWithSpaces>2434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2026-09-29T14:44:58Z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eyJoZGlkIjoiYTUxMDM2ZmRjMmE2ZWY4NmMzMzJiYTVkYzk3ZjQ2MjciLCJ1c2VySWQiOiIyMjY0NjUzODUifQ==</vt:lpwstr>
  </property>
  <property fmtid="{D5CDD505-2E9C-101B-9397-08002B2CF9AE}" pid="4" name="ICV">
    <vt:lpwstr>809CC1CD4B5842499BAD9ED908C28C0C_13</vt:lpwstr>
  </property>
</Properties>
</file>