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EA439">
      <w:pPr>
        <w:pStyle w:val="8"/>
        <w:spacing w:line="360" w:lineRule="auto"/>
        <w:jc w:val="center"/>
        <w:outlineLvl w:val="1"/>
        <w:rPr>
          <w:rFonts w:ascii="宋体" w:hAnsi="宋体" w:eastAsia="宋体" w:cs="宋体"/>
          <w:sz w:val="24"/>
          <w:szCs w:val="24"/>
          <w:highlight w:val="none"/>
        </w:rPr>
      </w:pPr>
      <w:r>
        <w:rPr>
          <w:rFonts w:ascii="宋体" w:hAnsi="宋体" w:eastAsia="宋体" w:cs="宋体"/>
          <w:b/>
          <w:sz w:val="24"/>
          <w:szCs w:val="24"/>
          <w:highlight w:val="none"/>
        </w:rPr>
        <w:t>第二章 采购需求</w:t>
      </w:r>
    </w:p>
    <w:p w14:paraId="370C518F">
      <w:pPr>
        <w:pStyle w:val="8"/>
        <w:spacing w:line="360" w:lineRule="auto"/>
        <w:outlineLvl w:val="2"/>
        <w:rPr>
          <w:rFonts w:ascii="宋体" w:hAnsi="宋体" w:eastAsia="宋体" w:cs="宋体"/>
          <w:sz w:val="24"/>
          <w:szCs w:val="24"/>
          <w:highlight w:val="none"/>
        </w:rPr>
      </w:pPr>
      <w:r>
        <w:rPr>
          <w:rFonts w:ascii="宋体" w:hAnsi="宋体" w:eastAsia="宋体" w:cs="宋体"/>
          <w:b/>
          <w:sz w:val="24"/>
          <w:szCs w:val="24"/>
          <w:highlight w:val="none"/>
        </w:rPr>
        <w:t>一、项目概况：</w:t>
      </w:r>
    </w:p>
    <w:p w14:paraId="6A210814">
      <w:pPr>
        <w:pStyle w:val="8"/>
        <w:spacing w:line="360" w:lineRule="auto"/>
        <w:rPr>
          <w:rFonts w:ascii="宋体" w:hAnsi="宋体" w:eastAsia="宋体" w:cs="宋体"/>
          <w:sz w:val="24"/>
          <w:szCs w:val="24"/>
          <w:highlight w:val="none"/>
        </w:rPr>
      </w:pPr>
      <w:r>
        <w:rPr>
          <w:rFonts w:ascii="宋体" w:hAnsi="宋体" w:eastAsia="宋体" w:cs="宋体"/>
          <w:b/>
          <w:color w:val="222222"/>
          <w:sz w:val="24"/>
          <w:szCs w:val="24"/>
          <w:highlight w:val="none"/>
        </w:rPr>
        <w:t>服务要求：</w:t>
      </w:r>
    </w:p>
    <w:p w14:paraId="485F6F61">
      <w:pPr>
        <w:pStyle w:val="8"/>
        <w:spacing w:line="360" w:lineRule="auto"/>
        <w:rPr>
          <w:rFonts w:ascii="宋体" w:hAnsi="宋体" w:eastAsia="宋体" w:cs="宋体"/>
          <w:sz w:val="24"/>
          <w:szCs w:val="24"/>
          <w:highlight w:val="none"/>
        </w:rPr>
      </w:pPr>
      <w:r>
        <w:rPr>
          <w:rFonts w:ascii="宋体" w:hAnsi="宋体" w:eastAsia="宋体" w:cs="宋体"/>
          <w:b/>
          <w:color w:val="222222"/>
          <w:sz w:val="24"/>
          <w:szCs w:val="24"/>
          <w:highlight w:val="none"/>
        </w:rPr>
        <w:t>（一）检测服务内容及服务收费规定</w:t>
      </w:r>
    </w:p>
    <w:tbl>
      <w:tblPr>
        <w:tblStyle w:val="4"/>
        <w:tblW w:w="988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950"/>
        <w:gridCol w:w="3482"/>
        <w:gridCol w:w="2663"/>
        <w:gridCol w:w="1791"/>
      </w:tblGrid>
      <w:tr w14:paraId="19BBED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6CFAC50">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采购内容</w:t>
            </w:r>
          </w:p>
        </w:tc>
        <w:tc>
          <w:tcPr>
            <w:tcW w:w="3482"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center"/>
          </w:tcPr>
          <w:p w14:paraId="426549B8">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检测服务分项</w:t>
            </w:r>
          </w:p>
        </w:tc>
        <w:tc>
          <w:tcPr>
            <w:tcW w:w="2663"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center"/>
          </w:tcPr>
          <w:p w14:paraId="63E723E1">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检测服务分项的</w:t>
            </w:r>
          </w:p>
          <w:p w14:paraId="24953EBD">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基准单价</w:t>
            </w:r>
          </w:p>
        </w:tc>
        <w:tc>
          <w:tcPr>
            <w:tcW w:w="1791"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center"/>
          </w:tcPr>
          <w:p w14:paraId="297C516F">
            <w:pPr>
              <w:pStyle w:val="8"/>
              <w:spacing w:line="360"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结算上限</w:t>
            </w:r>
          </w:p>
        </w:tc>
      </w:tr>
      <w:tr w14:paraId="2257F8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5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4DD8A4D">
            <w:pPr>
              <w:pStyle w:val="8"/>
              <w:spacing w:line="360" w:lineRule="auto"/>
              <w:jc w:val="center"/>
              <w:rPr>
                <w:rFonts w:ascii="宋体" w:hAnsi="宋体" w:eastAsia="宋体" w:cs="宋体"/>
                <w:sz w:val="24"/>
                <w:szCs w:val="24"/>
                <w:highlight w:val="none"/>
              </w:rPr>
            </w:pPr>
            <w:r>
              <w:rPr>
                <w:rFonts w:hint="default" w:ascii="宋体" w:hAnsi="宋体" w:eastAsia="宋体" w:cs="宋体"/>
                <w:sz w:val="24"/>
                <w:szCs w:val="24"/>
                <w:highlight w:val="none"/>
              </w:rPr>
              <w:t>基因甲基化</w:t>
            </w:r>
            <w:r>
              <w:rPr>
                <w:rFonts w:ascii="宋体" w:hAnsi="宋体" w:eastAsia="宋体" w:cs="宋体"/>
                <w:sz w:val="24"/>
                <w:szCs w:val="24"/>
                <w:highlight w:val="none"/>
              </w:rPr>
              <w:t>检测服务</w:t>
            </w:r>
          </w:p>
        </w:tc>
        <w:tc>
          <w:tcPr>
            <w:tcW w:w="3482" w:type="dxa"/>
            <w:tcBorders>
              <w:top w:val="nil"/>
              <w:left w:val="nil"/>
              <w:bottom w:val="single" w:color="000000" w:sz="4" w:space="0"/>
              <w:right w:val="single" w:color="000000" w:sz="4" w:space="0"/>
            </w:tcBorders>
            <w:tcMar>
              <w:top w:w="0" w:type="dxa"/>
              <w:left w:w="0" w:type="dxa"/>
              <w:bottom w:w="0" w:type="dxa"/>
              <w:right w:w="0" w:type="dxa"/>
            </w:tcMar>
            <w:vAlign w:val="center"/>
          </w:tcPr>
          <w:p w14:paraId="211A010C">
            <w:pPr>
              <w:pStyle w:val="8"/>
              <w:spacing w:line="360" w:lineRule="auto"/>
              <w:jc w:val="center"/>
              <w:rPr>
                <w:rFonts w:ascii="宋体" w:hAnsi="宋体" w:eastAsia="宋体" w:cs="宋体"/>
                <w:sz w:val="24"/>
                <w:szCs w:val="24"/>
                <w:highlight w:val="none"/>
              </w:rPr>
            </w:pPr>
            <w:bookmarkStart w:id="0" w:name="_GoBack"/>
            <w:bookmarkEnd w:id="0"/>
            <w:r>
              <w:rPr>
                <w:rFonts w:hint="default" w:ascii="宋体" w:hAnsi="宋体" w:eastAsia="宋体" w:cs="宋体"/>
                <w:sz w:val="24"/>
                <w:szCs w:val="24"/>
                <w:highlight w:val="none"/>
              </w:rPr>
              <w:t>肠癌基因甲基化</w:t>
            </w:r>
            <w:r>
              <w:rPr>
                <w:rFonts w:ascii="宋体" w:hAnsi="宋体" w:eastAsia="宋体" w:cs="宋体"/>
                <w:sz w:val="24"/>
                <w:szCs w:val="24"/>
                <w:highlight w:val="none"/>
              </w:rPr>
              <w:t>检测服务</w:t>
            </w:r>
          </w:p>
        </w:tc>
        <w:tc>
          <w:tcPr>
            <w:tcW w:w="2663" w:type="dxa"/>
            <w:tcBorders>
              <w:top w:val="nil"/>
              <w:left w:val="nil"/>
              <w:bottom w:val="single" w:color="000000" w:sz="4" w:space="0"/>
              <w:right w:val="single" w:color="000000" w:sz="4" w:space="0"/>
            </w:tcBorders>
            <w:tcMar>
              <w:top w:w="0" w:type="dxa"/>
              <w:left w:w="0" w:type="dxa"/>
              <w:bottom w:w="0" w:type="dxa"/>
              <w:right w:w="0" w:type="dxa"/>
            </w:tcMar>
            <w:vAlign w:val="center"/>
          </w:tcPr>
          <w:p w14:paraId="0A3D8A54">
            <w:pPr>
              <w:pStyle w:val="8"/>
              <w:spacing w:line="360" w:lineRule="auto"/>
              <w:jc w:val="center"/>
              <w:rPr>
                <w:rFonts w:ascii="宋体" w:hAnsi="宋体" w:eastAsia="宋体" w:cs="宋体"/>
                <w:sz w:val="24"/>
                <w:szCs w:val="24"/>
                <w:highlight w:val="none"/>
                <w:lang w:eastAsia="zh-CN"/>
              </w:rPr>
            </w:pPr>
            <w:r>
              <w:rPr>
                <w:rFonts w:ascii="宋体" w:hAnsi="宋体" w:eastAsia="宋体" w:cs="宋体"/>
                <w:sz w:val="24"/>
                <w:szCs w:val="24"/>
                <w:highlight w:val="none"/>
                <w:lang w:eastAsia="zh-CN"/>
              </w:rPr>
              <w:t>420元/例</w:t>
            </w:r>
          </w:p>
        </w:tc>
        <w:tc>
          <w:tcPr>
            <w:tcW w:w="1791" w:type="dxa"/>
            <w:tcBorders>
              <w:top w:val="nil"/>
              <w:left w:val="nil"/>
              <w:bottom w:val="single" w:color="000000" w:sz="4" w:space="0"/>
              <w:right w:val="single" w:color="000000" w:sz="4" w:space="0"/>
            </w:tcBorders>
            <w:tcMar>
              <w:top w:w="0" w:type="dxa"/>
              <w:left w:w="0" w:type="dxa"/>
              <w:bottom w:w="0" w:type="dxa"/>
              <w:right w:w="0" w:type="dxa"/>
            </w:tcMar>
            <w:vAlign w:val="center"/>
          </w:tcPr>
          <w:p w14:paraId="1B65B615">
            <w:pPr>
              <w:pStyle w:val="8"/>
              <w:spacing w:line="360"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8.4万元</w:t>
            </w:r>
          </w:p>
        </w:tc>
      </w:tr>
    </w:tbl>
    <w:p w14:paraId="79060A97">
      <w:pPr>
        <w:pStyle w:val="8"/>
        <w:spacing w:line="360" w:lineRule="auto"/>
        <w:ind w:firstLine="480"/>
        <w:jc w:val="both"/>
        <w:rPr>
          <w:rFonts w:ascii="宋体" w:hAnsi="宋体" w:eastAsia="宋体" w:cs="宋体"/>
          <w:sz w:val="24"/>
          <w:szCs w:val="24"/>
          <w:highlight w:val="none"/>
        </w:rPr>
      </w:pPr>
      <w:r>
        <w:rPr>
          <w:rFonts w:ascii="宋体" w:hAnsi="宋体" w:eastAsia="宋体" w:cs="宋体"/>
          <w:color w:val="222222"/>
          <w:sz w:val="24"/>
          <w:szCs w:val="24"/>
          <w:highlight w:val="none"/>
        </w:rPr>
        <w:t>1.</w:t>
      </w:r>
      <w:r>
        <w:rPr>
          <w:rFonts w:ascii="宋体" w:hAnsi="宋体" w:eastAsia="宋体" w:cs="宋体"/>
          <w:sz w:val="24"/>
          <w:szCs w:val="24"/>
          <w:highlight w:val="none"/>
        </w:rPr>
        <w:t>如遇到国家、省、市相关部门政策调整或耗材集采导致检测服务分项基准单价发生变化，双方应及时调整相应检测服务分项基准单价，调低不调高。</w:t>
      </w:r>
    </w:p>
    <w:p w14:paraId="50FEB334">
      <w:pPr>
        <w:pStyle w:val="8"/>
        <w:spacing w:line="360" w:lineRule="auto"/>
        <w:ind w:firstLine="480"/>
        <w:jc w:val="both"/>
        <w:rPr>
          <w:rFonts w:ascii="宋体" w:hAnsi="宋体" w:eastAsia="宋体" w:cs="宋体"/>
          <w:sz w:val="24"/>
          <w:szCs w:val="24"/>
          <w:highlight w:val="none"/>
        </w:rPr>
      </w:pPr>
      <w:r>
        <w:rPr>
          <w:rFonts w:ascii="宋体" w:hAnsi="宋体" w:eastAsia="宋体" w:cs="宋体"/>
          <w:color w:val="222222"/>
          <w:sz w:val="24"/>
          <w:szCs w:val="24"/>
          <w:highlight w:val="none"/>
        </w:rPr>
        <w:t>2.本项目采购内容根据实际检测项目和数量进行结算，若在服务有效期内，采购内容的专项资金（项目预算金额）提前使用完毕，可依照相关法规要求继续以原合同价格与乙方协商签订补充合同，补充合同采购金额不超过专项资金（项目预算金额）的10%，达到专项资金（项目预算金额）的10%，本项目所有合同自动终止。</w:t>
      </w:r>
    </w:p>
    <w:p w14:paraId="5344AA8B">
      <w:pPr>
        <w:pStyle w:val="8"/>
        <w:spacing w:line="360" w:lineRule="auto"/>
        <w:ind w:firstLine="480"/>
        <w:jc w:val="both"/>
        <w:rPr>
          <w:rFonts w:ascii="宋体" w:hAnsi="宋体" w:eastAsia="宋体" w:cs="宋体"/>
          <w:sz w:val="24"/>
          <w:szCs w:val="24"/>
          <w:highlight w:val="none"/>
        </w:rPr>
      </w:pPr>
      <w:r>
        <w:rPr>
          <w:rFonts w:ascii="宋体" w:hAnsi="宋体" w:eastAsia="宋体" w:cs="宋体"/>
          <w:color w:val="222222"/>
          <w:sz w:val="24"/>
          <w:szCs w:val="24"/>
          <w:highlight w:val="none"/>
        </w:rPr>
        <w:t>3.投标报价不超过本项目最高限价，投标单价不超过本项目相应单项的最高单价限价。</w:t>
      </w:r>
    </w:p>
    <w:p w14:paraId="749D282A">
      <w:pPr>
        <w:pStyle w:val="8"/>
        <w:spacing w:line="360" w:lineRule="auto"/>
        <w:ind w:left="480"/>
        <w:rPr>
          <w:rFonts w:ascii="宋体" w:hAnsi="宋体" w:eastAsia="宋体" w:cs="宋体"/>
          <w:sz w:val="24"/>
          <w:szCs w:val="24"/>
          <w:highlight w:val="none"/>
        </w:rPr>
      </w:pPr>
      <w:r>
        <w:rPr>
          <w:rFonts w:ascii="宋体" w:hAnsi="宋体" w:eastAsia="宋体" w:cs="宋体"/>
          <w:b/>
          <w:color w:val="222222"/>
          <w:sz w:val="24"/>
          <w:szCs w:val="24"/>
          <w:highlight w:val="none"/>
        </w:rPr>
        <w:t>（二）</w:t>
      </w:r>
      <w:r>
        <w:rPr>
          <w:rFonts w:ascii="宋体" w:hAnsi="宋体" w:eastAsia="宋体" w:cs="宋体"/>
          <w:b/>
          <w:sz w:val="24"/>
          <w:szCs w:val="24"/>
          <w:highlight w:val="none"/>
        </w:rPr>
        <w:t>服务范围及服务内容</w:t>
      </w:r>
      <w:r>
        <w:rPr>
          <w:rFonts w:ascii="宋体" w:hAnsi="宋体" w:eastAsia="宋体" w:cs="宋体"/>
          <w:sz w:val="24"/>
          <w:szCs w:val="24"/>
          <w:highlight w:val="none"/>
        </w:rPr>
        <w:br w:type="textWrapping"/>
      </w:r>
      <w:r>
        <w:rPr>
          <w:rFonts w:ascii="宋体" w:hAnsi="宋体" w:eastAsia="宋体" w:cs="宋体"/>
          <w:b/>
          <w:sz w:val="24"/>
          <w:szCs w:val="24"/>
          <w:highlight w:val="none"/>
        </w:rPr>
        <w:t>1.检测范围要求</w:t>
      </w:r>
    </w:p>
    <w:p w14:paraId="05D33CA2">
      <w:pPr>
        <w:pStyle w:val="8"/>
        <w:spacing w:line="360" w:lineRule="auto"/>
        <w:ind w:firstLine="480"/>
        <w:jc w:val="both"/>
        <w:rPr>
          <w:rFonts w:ascii="宋体" w:hAnsi="宋体" w:eastAsia="宋体" w:cs="宋体"/>
          <w:color w:val="222222"/>
          <w:sz w:val="24"/>
          <w:szCs w:val="24"/>
          <w:highlight w:val="none"/>
        </w:rPr>
      </w:pPr>
      <w:r>
        <w:rPr>
          <w:rFonts w:hint="default" w:ascii="宋体" w:hAnsi="宋体" w:eastAsia="宋体" w:cs="宋体"/>
          <w:color w:val="222222"/>
          <w:sz w:val="24"/>
          <w:szCs w:val="24"/>
          <w:highlight w:val="none"/>
          <w:lang w:eastAsia="zh-CN"/>
        </w:rPr>
        <w:t>用于临床医师评估后建议接受肠镜检查，但因受试者依从性不佳或存在其他医学因素无法完成肠镜检查的人群，作为结直肠癌的辅助诊断。</w:t>
      </w:r>
    </w:p>
    <w:p w14:paraId="6C70E92D">
      <w:pPr>
        <w:pStyle w:val="8"/>
        <w:spacing w:after="120" w:line="360" w:lineRule="auto"/>
        <w:ind w:firstLine="482"/>
        <w:jc w:val="both"/>
        <w:rPr>
          <w:rFonts w:ascii="宋体" w:hAnsi="宋体" w:eastAsia="宋体" w:cs="宋体"/>
          <w:sz w:val="24"/>
          <w:szCs w:val="24"/>
          <w:highlight w:val="none"/>
        </w:rPr>
      </w:pPr>
      <w:r>
        <w:rPr>
          <w:rFonts w:ascii="宋体" w:hAnsi="宋体" w:eastAsia="宋体" w:cs="宋体"/>
          <w:b/>
          <w:sz w:val="24"/>
          <w:szCs w:val="24"/>
          <w:highlight w:val="none"/>
        </w:rPr>
        <w:t>2.总体服务要求：</w:t>
      </w:r>
    </w:p>
    <w:p w14:paraId="577473DE">
      <w:pPr>
        <w:pStyle w:val="8"/>
        <w:spacing w:line="360" w:lineRule="auto"/>
        <w:ind w:firstLine="480"/>
        <w:jc w:val="both"/>
        <w:rPr>
          <w:rFonts w:ascii="宋体" w:hAnsi="宋体" w:eastAsia="宋体" w:cs="宋体"/>
          <w:sz w:val="24"/>
          <w:szCs w:val="24"/>
          <w:highlight w:val="none"/>
        </w:rPr>
      </w:pPr>
      <w:r>
        <w:rPr>
          <w:rFonts w:ascii="宋体" w:hAnsi="宋体" w:eastAsia="宋体" w:cs="宋体"/>
          <w:color w:val="222222"/>
          <w:sz w:val="24"/>
          <w:szCs w:val="24"/>
          <w:highlight w:val="none"/>
        </w:rPr>
        <w:t>（1）乙方承接甲方送检样本的肠癌基因甲基化外送检测服务，负责样本检测、生物信息分析，协助甲方完成样本流转、检测管理，并出具临床检测报告。</w:t>
      </w:r>
    </w:p>
    <w:p w14:paraId="2CD40DA7">
      <w:pPr>
        <w:pStyle w:val="8"/>
        <w:spacing w:line="360" w:lineRule="auto"/>
        <w:ind w:firstLine="480"/>
        <w:jc w:val="both"/>
        <w:rPr>
          <w:rFonts w:ascii="宋体" w:hAnsi="宋体" w:eastAsia="宋体" w:cs="宋体"/>
          <w:sz w:val="24"/>
          <w:szCs w:val="24"/>
          <w:highlight w:val="none"/>
        </w:rPr>
      </w:pPr>
      <w:r>
        <w:rPr>
          <w:rFonts w:ascii="宋体" w:hAnsi="宋体" w:eastAsia="宋体" w:cs="宋体"/>
          <w:color w:val="222222"/>
          <w:sz w:val="24"/>
          <w:szCs w:val="24"/>
          <w:highlight w:val="none"/>
        </w:rPr>
        <w:t>（2）乙方具有完善的临床服务与技术对接体系，设立专属对接窗口，能够及时响应甲方、受检者关于样本送检、样本状态、报告解读、项目技术等各类咨询。</w:t>
      </w:r>
    </w:p>
    <w:p w14:paraId="1D51F57D">
      <w:pPr>
        <w:pStyle w:val="8"/>
        <w:spacing w:line="360" w:lineRule="auto"/>
        <w:ind w:firstLine="480"/>
        <w:jc w:val="both"/>
        <w:rPr>
          <w:rFonts w:ascii="宋体" w:hAnsi="宋体" w:eastAsia="宋体" w:cs="宋体"/>
          <w:sz w:val="24"/>
          <w:szCs w:val="24"/>
          <w:highlight w:val="none"/>
        </w:rPr>
      </w:pPr>
      <w:r>
        <w:rPr>
          <w:rFonts w:ascii="宋体" w:hAnsi="宋体" w:eastAsia="宋体" w:cs="宋体"/>
          <w:color w:val="222222"/>
          <w:sz w:val="24"/>
          <w:szCs w:val="24"/>
          <w:highlight w:val="none"/>
        </w:rPr>
        <w:t>（3）乙方落实受检者隐私与检测数据安全管理，严格保密受检者临床信息、检测数据，未经甲方书面许可，不得泄露任何受检者相关资料</w:t>
      </w:r>
      <w:r>
        <w:rPr>
          <w:rFonts w:hint="default" w:ascii="宋体" w:hAnsi="宋体" w:eastAsia="宋体" w:cs="宋体"/>
          <w:color w:val="222222"/>
          <w:sz w:val="24"/>
          <w:szCs w:val="24"/>
          <w:highlight w:val="none"/>
        </w:rPr>
        <w:t>。</w:t>
      </w:r>
    </w:p>
    <w:p w14:paraId="43A6E1B9">
      <w:pPr>
        <w:pStyle w:val="8"/>
        <w:numPr>
          <w:ilvl w:val="0"/>
          <w:numId w:val="1"/>
        </w:numPr>
        <w:spacing w:line="360" w:lineRule="auto"/>
        <w:ind w:firstLine="480"/>
        <w:jc w:val="both"/>
        <w:rPr>
          <w:rFonts w:ascii="宋体" w:hAnsi="宋体" w:eastAsia="宋体" w:cs="宋体"/>
          <w:color w:val="222222"/>
          <w:sz w:val="24"/>
          <w:szCs w:val="24"/>
          <w:highlight w:val="none"/>
        </w:rPr>
      </w:pPr>
      <w:r>
        <w:rPr>
          <w:rFonts w:hint="default" w:ascii="宋体" w:hAnsi="宋体" w:eastAsia="宋体" w:cs="宋体"/>
          <w:color w:val="222222"/>
          <w:sz w:val="24"/>
          <w:szCs w:val="24"/>
          <w:highlight w:val="none"/>
        </w:rPr>
        <w:t>乙方</w:t>
      </w:r>
      <w:r>
        <w:rPr>
          <w:rFonts w:ascii="宋体" w:hAnsi="宋体" w:eastAsia="宋体" w:cs="宋体"/>
          <w:color w:val="222222"/>
          <w:sz w:val="24"/>
          <w:szCs w:val="24"/>
          <w:highlight w:val="none"/>
        </w:rPr>
        <w:t>按需为甲方提供项目相关培训，包含样本采集规范、送检要求、适用人群、报告解读等技术支持。</w:t>
      </w:r>
    </w:p>
    <w:p w14:paraId="29C18F74">
      <w:pPr>
        <w:pStyle w:val="8"/>
        <w:numPr>
          <w:ilvl w:val="0"/>
          <w:numId w:val="1"/>
        </w:numPr>
        <w:spacing w:line="360" w:lineRule="auto"/>
        <w:ind w:firstLine="480"/>
        <w:jc w:val="both"/>
        <w:rPr>
          <w:rFonts w:ascii="宋体" w:hAnsi="宋体" w:eastAsia="宋体" w:cs="宋体"/>
          <w:sz w:val="24"/>
          <w:szCs w:val="24"/>
          <w:highlight w:val="none"/>
        </w:rPr>
      </w:pPr>
      <w:r>
        <w:rPr>
          <w:rFonts w:ascii="宋体" w:hAnsi="宋体" w:eastAsia="宋体" w:cs="宋体"/>
          <w:color w:val="222222"/>
          <w:sz w:val="24"/>
          <w:szCs w:val="24"/>
          <w:highlight w:val="none"/>
        </w:rPr>
        <w:t>乙方协助甲方出具检测报告，检测报告出具时间自采样之日起不超过7个工作日；对甲方提出的检测结果异议，建立复核机制，按规范完成复核并反馈复核结论。</w:t>
      </w:r>
    </w:p>
    <w:p w14:paraId="0D79789D">
      <w:pPr>
        <w:pStyle w:val="8"/>
        <w:numPr>
          <w:ilvl w:val="0"/>
          <w:numId w:val="1"/>
        </w:numPr>
        <w:spacing w:line="360" w:lineRule="auto"/>
        <w:ind w:firstLine="480"/>
        <w:jc w:val="both"/>
        <w:rPr>
          <w:rFonts w:ascii="宋体" w:hAnsi="宋体" w:eastAsia="宋体" w:cs="宋体"/>
          <w:sz w:val="24"/>
          <w:szCs w:val="24"/>
          <w:highlight w:val="none"/>
        </w:rPr>
      </w:pPr>
      <w:r>
        <w:rPr>
          <w:rFonts w:hint="eastAsia" w:ascii="宋体" w:hAnsi="宋体" w:eastAsia="宋体" w:cs="宋体"/>
          <w:sz w:val="24"/>
          <w:szCs w:val="24"/>
          <w:highlight w:val="none"/>
        </w:rPr>
        <w:t>乙方实验室需有医学检验所执照，须具备医疗执业许可证书。</w:t>
      </w:r>
    </w:p>
    <w:p w14:paraId="59775102">
      <w:pPr>
        <w:pStyle w:val="8"/>
        <w:numPr>
          <w:ilvl w:val="0"/>
          <w:numId w:val="1"/>
        </w:numPr>
        <w:spacing w:line="360" w:lineRule="auto"/>
        <w:ind w:firstLine="480"/>
        <w:jc w:val="both"/>
        <w:rPr>
          <w:rFonts w:ascii="宋体" w:hAnsi="宋体" w:eastAsia="宋体" w:cs="宋体"/>
          <w:sz w:val="24"/>
          <w:szCs w:val="24"/>
          <w:highlight w:val="none"/>
        </w:rPr>
      </w:pPr>
      <w:r>
        <w:rPr>
          <w:rFonts w:hint="default" w:ascii="Times New Roman" w:hAnsi="Times New Roman" w:cs="Times New Roman"/>
          <w:color w:val="222222"/>
          <w:sz w:val="24"/>
          <w:szCs w:val="24"/>
          <w:highlight w:val="none"/>
        </w:rPr>
        <w:t>乙方不能把检测服务转包给第三方完成。</w:t>
      </w:r>
    </w:p>
    <w:p w14:paraId="444B9772">
      <w:pPr>
        <w:pStyle w:val="8"/>
        <w:spacing w:line="360" w:lineRule="auto"/>
        <w:jc w:val="both"/>
        <w:rPr>
          <w:rFonts w:ascii="宋体" w:hAnsi="宋体" w:eastAsia="宋体" w:cs="宋体"/>
          <w:sz w:val="24"/>
          <w:szCs w:val="24"/>
          <w:highlight w:val="none"/>
        </w:rPr>
      </w:pPr>
      <w:r>
        <w:rPr>
          <w:rFonts w:ascii="宋体" w:hAnsi="宋体" w:eastAsia="宋体" w:cs="宋体"/>
          <w:sz w:val="24"/>
          <w:szCs w:val="24"/>
          <w:highlight w:val="none"/>
        </w:rPr>
        <w:t>采购包1（</w:t>
      </w:r>
      <w:r>
        <w:rPr>
          <w:rFonts w:hint="default" w:ascii="宋体" w:hAnsi="宋体" w:eastAsia="宋体" w:cs="宋体"/>
          <w:sz w:val="24"/>
          <w:szCs w:val="24"/>
          <w:highlight w:val="none"/>
        </w:rPr>
        <w:t>肠癌基因甲基化</w:t>
      </w:r>
      <w:r>
        <w:rPr>
          <w:rFonts w:ascii="宋体" w:hAnsi="宋体" w:eastAsia="宋体" w:cs="宋体"/>
          <w:sz w:val="24"/>
          <w:szCs w:val="24"/>
          <w:highlight w:val="none"/>
        </w:rPr>
        <w:t>检测服务）</w:t>
      </w:r>
      <w:r>
        <w:rPr>
          <w:rFonts w:ascii="宋体" w:hAnsi="宋体" w:eastAsia="宋体" w:cs="宋体"/>
          <w:b/>
          <w:sz w:val="24"/>
          <w:szCs w:val="24"/>
          <w:highlight w:val="none"/>
        </w:rPr>
        <w:t>1.主要商务要求</w:t>
      </w:r>
    </w:p>
    <w:tbl>
      <w:tblPr>
        <w:tblStyle w:val="4"/>
        <w:tblW w:w="1004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5887"/>
      </w:tblGrid>
      <w:tr w14:paraId="2E1CA5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2A5E026B">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标的提供的时间</w:t>
            </w:r>
          </w:p>
        </w:tc>
        <w:tc>
          <w:tcPr>
            <w:tcW w:w="5887" w:type="dxa"/>
            <w:vAlign w:val="center"/>
          </w:tcPr>
          <w:p w14:paraId="47D175E1">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本期服务有效期为自合同签订生效之日起</w:t>
            </w:r>
            <w:r>
              <w:rPr>
                <w:rFonts w:ascii="宋体" w:hAnsi="宋体" w:eastAsia="宋体" w:cs="宋体"/>
                <w:sz w:val="24"/>
                <w:szCs w:val="24"/>
                <w:highlight w:val="none"/>
                <w:lang w:eastAsia="zh-CN"/>
              </w:rPr>
              <w:t>2</w:t>
            </w:r>
            <w:r>
              <w:rPr>
                <w:rFonts w:ascii="宋体" w:hAnsi="宋体" w:eastAsia="宋体" w:cs="宋体"/>
                <w:sz w:val="24"/>
                <w:szCs w:val="24"/>
                <w:highlight w:val="none"/>
              </w:rPr>
              <w:t>年（</w:t>
            </w:r>
            <w:r>
              <w:rPr>
                <w:rFonts w:ascii="宋体" w:hAnsi="宋体" w:eastAsia="宋体" w:cs="宋体"/>
                <w:sz w:val="24"/>
                <w:szCs w:val="24"/>
                <w:highlight w:val="none"/>
                <w:lang w:eastAsia="zh-CN"/>
              </w:rPr>
              <w:t>24</w:t>
            </w:r>
            <w:r>
              <w:rPr>
                <w:rFonts w:ascii="宋体" w:hAnsi="宋体" w:eastAsia="宋体" w:cs="宋体"/>
                <w:sz w:val="24"/>
                <w:szCs w:val="24"/>
                <w:highlight w:val="none"/>
              </w:rPr>
              <w:t>个月），具体开始时间由采购人决定。若在服务有效期内，采购内容的专项资金（项目预算金额）提前使用完毕，本项目合同可提前终止。</w:t>
            </w:r>
          </w:p>
        </w:tc>
      </w:tr>
      <w:tr w14:paraId="785118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58512D30">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标的提供的地点</w:t>
            </w:r>
          </w:p>
        </w:tc>
        <w:tc>
          <w:tcPr>
            <w:tcW w:w="5887" w:type="dxa"/>
            <w:vAlign w:val="center"/>
          </w:tcPr>
          <w:p w14:paraId="5887C3CD">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采购人指定地点。（以合同为准）。</w:t>
            </w:r>
          </w:p>
        </w:tc>
      </w:tr>
      <w:tr w14:paraId="0AB556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76AE77A8">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付款方式</w:t>
            </w:r>
          </w:p>
        </w:tc>
        <w:tc>
          <w:tcPr>
            <w:tcW w:w="5887" w:type="dxa"/>
            <w:vAlign w:val="center"/>
          </w:tcPr>
          <w:p w14:paraId="50A5AD85">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1期：支付比例100%,</w:t>
            </w:r>
            <w:r>
              <w:rPr>
                <w:rFonts w:hint="eastAsia" w:ascii="宋体" w:hAnsi="宋体" w:eastAsia="宋体" w:cs="宋体"/>
                <w:sz w:val="24"/>
                <w:szCs w:val="24"/>
                <w:highlight w:val="none"/>
              </w:rPr>
              <w:t>结算周期为1个季度，</w:t>
            </w:r>
            <w:r>
              <w:rPr>
                <w:rFonts w:hint="eastAsia" w:ascii="宋体" w:hAnsi="宋体" w:eastAsia="宋体" w:cs="宋体"/>
                <w:sz w:val="24"/>
                <w:szCs w:val="24"/>
                <w:highlight w:val="none"/>
                <w:lang w:eastAsia="zh-CN"/>
              </w:rPr>
              <w:t>每月</w:t>
            </w:r>
            <w:r>
              <w:rPr>
                <w:rFonts w:hint="eastAsia" w:ascii="宋体" w:hAnsi="宋体" w:eastAsia="宋体" w:cs="宋体"/>
                <w:sz w:val="24"/>
                <w:szCs w:val="24"/>
                <w:highlight w:val="none"/>
              </w:rPr>
              <w:t>10日</w:t>
            </w:r>
            <w:r>
              <w:rPr>
                <w:rFonts w:hint="eastAsia" w:ascii="宋体" w:hAnsi="宋体" w:eastAsia="宋体" w:cs="宋体"/>
                <w:sz w:val="24"/>
                <w:szCs w:val="24"/>
                <w:highlight w:val="none"/>
                <w:lang w:eastAsia="zh-CN"/>
              </w:rPr>
              <w:t>前</w:t>
            </w:r>
            <w:r>
              <w:rPr>
                <w:rFonts w:hint="eastAsia" w:ascii="宋体" w:hAnsi="宋体" w:eastAsia="宋体" w:cs="宋体"/>
                <w:sz w:val="24"/>
                <w:szCs w:val="24"/>
                <w:highlight w:val="none"/>
              </w:rPr>
              <w:t>双方对账，双方确认无误后，乙方按送检例数向甲方开具合法有效的检测服务费发票，甲方收</w:t>
            </w:r>
            <w:r>
              <w:rPr>
                <w:rFonts w:hint="eastAsia" w:ascii="宋体" w:hAnsi="宋体" w:eastAsia="宋体" w:cs="宋体"/>
                <w:sz w:val="24"/>
                <w:szCs w:val="24"/>
                <w:highlight w:val="none"/>
                <w:lang w:eastAsia="zh-CN"/>
              </w:rPr>
              <w:t>齐</w:t>
            </w:r>
            <w:r>
              <w:rPr>
                <w:rFonts w:hint="eastAsia" w:ascii="宋体" w:hAnsi="宋体" w:eastAsia="宋体" w:cs="宋体"/>
                <w:sz w:val="24"/>
                <w:szCs w:val="24"/>
                <w:highlight w:val="none"/>
              </w:rPr>
              <w:t>乙方的</w:t>
            </w:r>
            <w:r>
              <w:rPr>
                <w:rFonts w:hint="eastAsia" w:ascii="宋体" w:hAnsi="宋体" w:eastAsia="宋体" w:cs="宋体"/>
                <w:sz w:val="24"/>
                <w:szCs w:val="24"/>
                <w:highlight w:val="none"/>
                <w:lang w:eastAsia="zh-CN"/>
              </w:rPr>
              <w:t>当季度的各月</w:t>
            </w:r>
            <w:r>
              <w:rPr>
                <w:rFonts w:hint="eastAsia" w:ascii="宋体" w:hAnsi="宋体" w:eastAsia="宋体" w:cs="宋体"/>
                <w:sz w:val="24"/>
                <w:szCs w:val="24"/>
                <w:highlight w:val="none"/>
              </w:rPr>
              <w:t>发票审核无误后30个工作日内向乙方指定银行账号转账支付上个季度的款项。</w:t>
            </w:r>
            <w:r>
              <w:rPr>
                <w:rFonts w:ascii="宋体" w:hAnsi="宋体" w:eastAsia="宋体" w:cs="宋体"/>
                <w:sz w:val="24"/>
                <w:szCs w:val="24"/>
                <w:highlight w:val="none"/>
              </w:rPr>
              <w:t>结算以人民币为货币单位计算和支付，并通过银行转账的方式进行。每月各检测服务分项服务费＝相应检测服务分项的中标单价×当月相应检测服务分项的实际检测数量，每月的检测服务费应为当月各检测服务分项服务费之和，按实结算。本项目的检测服务费总金额应为服务有效期内各检测服务分项服务费之和。注：采购人在规定时间内提出支付申请手续后，即视为采购人已经按期支付，实际付款到账时间及金额以支付单位支付时间及金额为准，采购人不承担任何逾期付款的违约责任。</w:t>
            </w:r>
          </w:p>
          <w:p w14:paraId="099658C6">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如项目发生合同融资，采购人应当将合同款项支付到合同约定收款账户。</w:t>
            </w:r>
          </w:p>
        </w:tc>
      </w:tr>
      <w:tr w14:paraId="48A72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5E5483FE">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验收要求</w:t>
            </w:r>
          </w:p>
        </w:tc>
        <w:tc>
          <w:tcPr>
            <w:tcW w:w="5887" w:type="dxa"/>
            <w:vAlign w:val="center"/>
          </w:tcPr>
          <w:p w14:paraId="35FBA1FC">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1期：以本项目招标文件、国家、省和市现行相关规范为验收标准。</w:t>
            </w:r>
          </w:p>
        </w:tc>
      </w:tr>
      <w:tr w14:paraId="37D14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329EF0F2">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履约保证金</w:t>
            </w:r>
          </w:p>
        </w:tc>
        <w:tc>
          <w:tcPr>
            <w:tcW w:w="5887" w:type="dxa"/>
            <w:vAlign w:val="center"/>
          </w:tcPr>
          <w:p w14:paraId="74482CD2">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不收取</w:t>
            </w:r>
          </w:p>
        </w:tc>
      </w:tr>
      <w:tr w14:paraId="56F03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1D07672B">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其他</w:t>
            </w:r>
          </w:p>
        </w:tc>
        <w:tc>
          <w:tcPr>
            <w:tcW w:w="5887" w:type="dxa"/>
            <w:vAlign w:val="center"/>
          </w:tcPr>
          <w:p w14:paraId="4E7A0C52">
            <w:pPr>
              <w:pStyle w:val="8"/>
              <w:spacing w:line="360" w:lineRule="auto"/>
              <w:rPr>
                <w:rFonts w:ascii="宋体" w:hAnsi="宋体" w:eastAsia="宋体" w:cs="宋体"/>
                <w:sz w:val="24"/>
                <w:szCs w:val="24"/>
                <w:highlight w:val="none"/>
              </w:rPr>
            </w:pPr>
          </w:p>
        </w:tc>
      </w:tr>
    </w:tbl>
    <w:p w14:paraId="0DCE78D0">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其他商务需求</w:t>
      </w:r>
    </w:p>
    <w:tbl>
      <w:tblPr>
        <w:tblStyle w:val="4"/>
        <w:tblW w:w="1005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93"/>
        <w:gridCol w:w="1383"/>
        <w:gridCol w:w="2076"/>
        <w:gridCol w:w="3827"/>
      </w:tblGrid>
      <w:tr w14:paraId="3097E6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A9CD9B3">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参数性质</w:t>
            </w:r>
          </w:p>
        </w:tc>
        <w:tc>
          <w:tcPr>
            <w:tcW w:w="2076" w:type="dxa"/>
            <w:gridSpan w:val="2"/>
          </w:tcPr>
          <w:p w14:paraId="767200A4">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编号</w:t>
            </w:r>
          </w:p>
        </w:tc>
        <w:tc>
          <w:tcPr>
            <w:tcW w:w="2076" w:type="dxa"/>
          </w:tcPr>
          <w:p w14:paraId="0CC93B40">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内容明细</w:t>
            </w:r>
          </w:p>
        </w:tc>
        <w:tc>
          <w:tcPr>
            <w:tcW w:w="3827" w:type="dxa"/>
          </w:tcPr>
          <w:p w14:paraId="48732A78">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内容说明</w:t>
            </w:r>
          </w:p>
        </w:tc>
      </w:tr>
      <w:tr w14:paraId="441F30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2CE85B3">
            <w:pPr>
              <w:spacing w:line="360" w:lineRule="auto"/>
              <w:rPr>
                <w:rFonts w:hint="eastAsia" w:ascii="宋体" w:hAnsi="宋体" w:eastAsia="宋体" w:cs="宋体"/>
                <w:sz w:val="24"/>
                <w:highlight w:val="none"/>
              </w:rPr>
            </w:pPr>
          </w:p>
        </w:tc>
        <w:tc>
          <w:tcPr>
            <w:tcW w:w="2076" w:type="dxa"/>
            <w:gridSpan w:val="2"/>
          </w:tcPr>
          <w:p w14:paraId="32C9B874">
            <w:pPr>
              <w:pStyle w:val="8"/>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rPr>
              <w:t>1</w:t>
            </w:r>
          </w:p>
        </w:tc>
        <w:tc>
          <w:tcPr>
            <w:tcW w:w="2076" w:type="dxa"/>
          </w:tcPr>
          <w:p w14:paraId="5771F6F8">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其他</w:t>
            </w:r>
          </w:p>
        </w:tc>
        <w:tc>
          <w:tcPr>
            <w:tcW w:w="3827" w:type="dxa"/>
          </w:tcPr>
          <w:p w14:paraId="28127D50">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1.本次采购内容为江门市妇幼保健院</w:t>
            </w:r>
            <w:r>
              <w:rPr>
                <w:rFonts w:hint="default" w:ascii="宋体" w:hAnsi="宋体" w:eastAsia="宋体" w:cs="宋体"/>
                <w:sz w:val="24"/>
                <w:szCs w:val="24"/>
                <w:highlight w:val="none"/>
              </w:rPr>
              <w:t>肠癌基因甲基化</w:t>
            </w:r>
            <w:r>
              <w:rPr>
                <w:rFonts w:ascii="宋体" w:hAnsi="宋体" w:eastAsia="宋体" w:cs="宋体"/>
                <w:sz w:val="24"/>
                <w:szCs w:val="24"/>
                <w:highlight w:val="none"/>
              </w:rPr>
              <w:t>检测服务项目（具体要求详见“技术要求”）。供应商不得将本项目中的内容拆散来响应。</w:t>
            </w:r>
            <w:r>
              <w:rPr>
                <w:rFonts w:ascii="宋体" w:hAnsi="宋体" w:eastAsia="宋体" w:cs="宋体"/>
                <w:sz w:val="24"/>
                <w:szCs w:val="24"/>
                <w:highlight w:val="none"/>
                <w:lang w:eastAsia="zh-CN"/>
              </w:rPr>
              <w:t>2</w:t>
            </w:r>
            <w:r>
              <w:rPr>
                <w:rFonts w:ascii="宋体" w:hAnsi="宋体" w:eastAsia="宋体" w:cs="宋体"/>
                <w:sz w:val="24"/>
                <w:szCs w:val="24"/>
                <w:highlight w:val="none"/>
              </w:rPr>
              <w:t>.供应商如属于小型和微型企业（监狱企业、残疾人福利单位视同小型、微型企业）的，应在响应文件中提供相关证明材料。</w:t>
            </w:r>
            <w:r>
              <w:rPr>
                <w:rFonts w:ascii="宋体" w:hAnsi="宋体" w:eastAsia="宋体" w:cs="宋体"/>
                <w:sz w:val="24"/>
                <w:szCs w:val="24"/>
                <w:highlight w:val="none"/>
                <w:lang w:eastAsia="zh-CN"/>
              </w:rPr>
              <w:t>3</w:t>
            </w:r>
            <w:r>
              <w:rPr>
                <w:rFonts w:ascii="宋体" w:hAnsi="宋体" w:eastAsia="宋体" w:cs="宋体"/>
                <w:sz w:val="24"/>
                <w:szCs w:val="24"/>
                <w:highlight w:val="none"/>
              </w:rPr>
              <w:t>.投标报价应为人民币含税全包价。</w:t>
            </w:r>
            <w:r>
              <w:rPr>
                <w:rFonts w:ascii="宋体" w:hAnsi="宋体" w:eastAsia="宋体" w:cs="宋体"/>
                <w:sz w:val="24"/>
                <w:szCs w:val="24"/>
                <w:highlight w:val="none"/>
                <w:lang w:eastAsia="zh-CN"/>
              </w:rPr>
              <w:t>4</w:t>
            </w:r>
            <w:r>
              <w:rPr>
                <w:rFonts w:ascii="宋体" w:hAnsi="宋体" w:eastAsia="宋体" w:cs="宋体"/>
                <w:sz w:val="24"/>
                <w:szCs w:val="24"/>
                <w:highlight w:val="none"/>
              </w:rPr>
              <w:t>.采购合同由成交供应商与采购人双方签订。</w:t>
            </w:r>
          </w:p>
        </w:tc>
      </w:tr>
      <w:tr w14:paraId="646DC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14:paraId="4B340E19">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说明</w:t>
            </w:r>
          </w:p>
        </w:tc>
        <w:tc>
          <w:tcPr>
            <w:tcW w:w="7286" w:type="dxa"/>
            <w:gridSpan w:val="3"/>
          </w:tcPr>
          <w:p w14:paraId="49CDD0D8">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打“★”号条款为实质性条款，若有任何一条负偏离或不满足则导致投标（响应）无效。</w:t>
            </w:r>
            <w:r>
              <w:rPr>
                <w:rFonts w:ascii="宋体" w:hAnsi="宋体" w:eastAsia="宋体" w:cs="宋体"/>
                <w:sz w:val="24"/>
                <w:szCs w:val="24"/>
                <w:highlight w:val="none"/>
              </w:rPr>
              <w:br w:type="textWrapping"/>
            </w:r>
            <w:r>
              <w:rPr>
                <w:rFonts w:ascii="宋体" w:hAnsi="宋体" w:eastAsia="宋体" w:cs="宋体"/>
                <w:sz w:val="24"/>
                <w:szCs w:val="24"/>
                <w:highlight w:val="none"/>
              </w:rPr>
              <w:t>打“▲”号条款为重要参数（如有），若有部分“▲”条款未响应或不满足，将根据评审要求影响其得分，但不作为无效投标（响应）条款。</w:t>
            </w:r>
          </w:p>
        </w:tc>
      </w:tr>
    </w:tbl>
    <w:p w14:paraId="55EDA4A3">
      <w:pPr>
        <w:pStyle w:val="8"/>
        <w:spacing w:line="360" w:lineRule="auto"/>
        <w:rPr>
          <w:rFonts w:ascii="宋体" w:hAnsi="宋体" w:eastAsia="宋体" w:cs="宋体"/>
          <w:sz w:val="24"/>
          <w:szCs w:val="24"/>
          <w:highlight w:val="none"/>
        </w:rPr>
      </w:pPr>
      <w:r>
        <w:rPr>
          <w:rFonts w:ascii="宋体" w:hAnsi="宋体" w:eastAsia="宋体" w:cs="宋体"/>
          <w:b/>
          <w:sz w:val="24"/>
          <w:szCs w:val="24"/>
          <w:highlight w:val="none"/>
        </w:rPr>
        <w:t>2.技术标准与要求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9"/>
        <w:gridCol w:w="1137"/>
        <w:gridCol w:w="1113"/>
        <w:gridCol w:w="753"/>
        <w:gridCol w:w="933"/>
        <w:gridCol w:w="1656"/>
        <w:gridCol w:w="1656"/>
        <w:gridCol w:w="840"/>
        <w:gridCol w:w="933"/>
      </w:tblGrid>
      <w:tr w14:paraId="21D14D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9" w:type="dxa"/>
            <w:vAlign w:val="center"/>
          </w:tcPr>
          <w:p w14:paraId="0518698B">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序号</w:t>
            </w:r>
          </w:p>
        </w:tc>
        <w:tc>
          <w:tcPr>
            <w:tcW w:w="1137" w:type="dxa"/>
            <w:vAlign w:val="center"/>
          </w:tcPr>
          <w:p w14:paraId="1E25BE84">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品目名称</w:t>
            </w:r>
          </w:p>
        </w:tc>
        <w:tc>
          <w:tcPr>
            <w:tcW w:w="1113" w:type="dxa"/>
            <w:vAlign w:val="center"/>
          </w:tcPr>
          <w:p w14:paraId="5F45E0AC">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标的名称</w:t>
            </w:r>
          </w:p>
        </w:tc>
        <w:tc>
          <w:tcPr>
            <w:tcW w:w="753" w:type="dxa"/>
            <w:vAlign w:val="center"/>
          </w:tcPr>
          <w:p w14:paraId="0996CE6E">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单位</w:t>
            </w:r>
          </w:p>
        </w:tc>
        <w:tc>
          <w:tcPr>
            <w:tcW w:w="933" w:type="dxa"/>
            <w:vAlign w:val="center"/>
          </w:tcPr>
          <w:p w14:paraId="1392CDDE">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数量</w:t>
            </w:r>
          </w:p>
        </w:tc>
        <w:tc>
          <w:tcPr>
            <w:tcW w:w="1656" w:type="dxa"/>
            <w:vAlign w:val="center"/>
          </w:tcPr>
          <w:p w14:paraId="78E5226B">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分项预算单价（元）</w:t>
            </w:r>
          </w:p>
        </w:tc>
        <w:tc>
          <w:tcPr>
            <w:tcW w:w="1656" w:type="dxa"/>
            <w:vAlign w:val="center"/>
          </w:tcPr>
          <w:p w14:paraId="24BE3B07">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分项预算总价（元）</w:t>
            </w:r>
          </w:p>
        </w:tc>
        <w:tc>
          <w:tcPr>
            <w:tcW w:w="840" w:type="dxa"/>
            <w:vAlign w:val="center"/>
          </w:tcPr>
          <w:p w14:paraId="2565BE71">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所属行业</w:t>
            </w:r>
          </w:p>
        </w:tc>
        <w:tc>
          <w:tcPr>
            <w:tcW w:w="933" w:type="dxa"/>
            <w:vAlign w:val="center"/>
          </w:tcPr>
          <w:p w14:paraId="53A7BD32">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技术要求</w:t>
            </w:r>
          </w:p>
        </w:tc>
      </w:tr>
      <w:tr w14:paraId="455630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9" w:type="dxa"/>
            <w:vAlign w:val="center"/>
          </w:tcPr>
          <w:p w14:paraId="06B4613F">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1</w:t>
            </w:r>
          </w:p>
        </w:tc>
        <w:tc>
          <w:tcPr>
            <w:tcW w:w="1137" w:type="dxa"/>
            <w:vAlign w:val="center"/>
          </w:tcPr>
          <w:p w14:paraId="71709DE1">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其他医疗卫生服务</w:t>
            </w:r>
          </w:p>
        </w:tc>
        <w:tc>
          <w:tcPr>
            <w:tcW w:w="1113" w:type="dxa"/>
            <w:vAlign w:val="center"/>
          </w:tcPr>
          <w:p w14:paraId="14340B6E">
            <w:pPr>
              <w:pStyle w:val="8"/>
              <w:spacing w:line="360" w:lineRule="auto"/>
              <w:rPr>
                <w:rFonts w:ascii="宋体" w:hAnsi="宋体" w:eastAsia="宋体" w:cs="宋体"/>
                <w:sz w:val="24"/>
                <w:szCs w:val="24"/>
                <w:highlight w:val="none"/>
              </w:rPr>
            </w:pPr>
            <w:r>
              <w:rPr>
                <w:rFonts w:hint="default" w:ascii="宋体" w:hAnsi="宋体" w:eastAsia="宋体" w:cs="宋体"/>
                <w:sz w:val="24"/>
                <w:szCs w:val="24"/>
                <w:highlight w:val="none"/>
              </w:rPr>
              <w:t>肠癌基因甲基化</w:t>
            </w:r>
            <w:r>
              <w:rPr>
                <w:rFonts w:ascii="宋体" w:hAnsi="宋体" w:eastAsia="宋体" w:cs="宋体"/>
                <w:sz w:val="24"/>
                <w:szCs w:val="24"/>
                <w:highlight w:val="none"/>
              </w:rPr>
              <w:t>检测服务</w:t>
            </w:r>
          </w:p>
        </w:tc>
        <w:tc>
          <w:tcPr>
            <w:tcW w:w="753" w:type="dxa"/>
            <w:vAlign w:val="center"/>
          </w:tcPr>
          <w:p w14:paraId="1FB90429">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项</w:t>
            </w:r>
          </w:p>
        </w:tc>
        <w:tc>
          <w:tcPr>
            <w:tcW w:w="933" w:type="dxa"/>
            <w:vAlign w:val="center"/>
          </w:tcPr>
          <w:p w14:paraId="7D603B7F">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200</w:t>
            </w:r>
          </w:p>
        </w:tc>
        <w:tc>
          <w:tcPr>
            <w:tcW w:w="1656" w:type="dxa"/>
            <w:vAlign w:val="center"/>
          </w:tcPr>
          <w:p w14:paraId="7D8F8FB0">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420元</w:t>
            </w:r>
          </w:p>
        </w:tc>
        <w:tc>
          <w:tcPr>
            <w:tcW w:w="1656" w:type="dxa"/>
            <w:vAlign w:val="center"/>
          </w:tcPr>
          <w:p w14:paraId="1C0C9667">
            <w:pPr>
              <w:pStyle w:val="8"/>
              <w:spacing w:line="360" w:lineRule="auto"/>
              <w:rPr>
                <w:rFonts w:ascii="宋体" w:hAnsi="宋体" w:eastAsia="宋体" w:cs="宋体"/>
                <w:sz w:val="24"/>
                <w:szCs w:val="24"/>
                <w:highlight w:val="none"/>
              </w:rPr>
            </w:pPr>
            <w:r>
              <w:rPr>
                <w:rFonts w:ascii="Times New Roman" w:hAnsi="Times New Roman" w:cs="Times New Roman"/>
                <w:sz w:val="24"/>
                <w:szCs w:val="24"/>
                <w:highlight w:val="none"/>
                <w:lang w:eastAsia="zh-CN"/>
              </w:rPr>
              <w:t>84000</w:t>
            </w:r>
            <w:r>
              <w:rPr>
                <w:rFonts w:hint="default" w:ascii="Times New Roman" w:hAnsi="Times New Roman" w:cs="Times New Roman"/>
                <w:sz w:val="24"/>
                <w:szCs w:val="24"/>
                <w:highlight w:val="none"/>
                <w:lang w:eastAsia="zh-CN"/>
              </w:rPr>
              <w:t>元</w:t>
            </w:r>
          </w:p>
        </w:tc>
        <w:tc>
          <w:tcPr>
            <w:tcW w:w="840" w:type="dxa"/>
            <w:vAlign w:val="center"/>
          </w:tcPr>
          <w:p w14:paraId="74DA40CE">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其他未列明行业</w:t>
            </w:r>
          </w:p>
        </w:tc>
        <w:tc>
          <w:tcPr>
            <w:tcW w:w="933" w:type="dxa"/>
            <w:vAlign w:val="center"/>
          </w:tcPr>
          <w:p w14:paraId="6E733CC8">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详见附表一</w:t>
            </w:r>
          </w:p>
        </w:tc>
      </w:tr>
    </w:tbl>
    <w:p w14:paraId="4721F3AF">
      <w:pPr>
        <w:pStyle w:val="8"/>
        <w:spacing w:line="360" w:lineRule="auto"/>
        <w:rPr>
          <w:rFonts w:ascii="宋体" w:hAnsi="宋体" w:eastAsia="宋体" w:cs="宋体"/>
          <w:b/>
          <w:sz w:val="24"/>
          <w:szCs w:val="24"/>
          <w:highlight w:val="none"/>
          <w:lang w:eastAsia="zh-CN"/>
        </w:rPr>
      </w:pPr>
      <w:r>
        <w:rPr>
          <w:rFonts w:ascii="宋体" w:hAnsi="宋体" w:eastAsia="宋体" w:cs="宋体"/>
          <w:b/>
          <w:sz w:val="24"/>
          <w:szCs w:val="24"/>
          <w:highlight w:val="none"/>
          <w:lang w:eastAsia="zh-CN"/>
        </w:rPr>
        <w:t>3.服务内容</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3422"/>
        <w:gridCol w:w="5415"/>
      </w:tblGrid>
      <w:tr w14:paraId="6BCA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Borders>
              <w:top w:val="single" w:color="auto" w:sz="4" w:space="0"/>
              <w:left w:val="single" w:color="auto" w:sz="4" w:space="0"/>
              <w:bottom w:val="single" w:color="auto" w:sz="4" w:space="0"/>
              <w:right w:val="single" w:color="auto" w:sz="4" w:space="0"/>
            </w:tcBorders>
            <w:vAlign w:val="center"/>
          </w:tcPr>
          <w:p w14:paraId="3339ADBC">
            <w:pPr>
              <w:jc w:val="left"/>
              <w:rPr>
                <w:rFonts w:ascii="Calibri" w:hAnsi="Calibri" w:eastAsia="宋体" w:cs="Times New Roman"/>
                <w:kern w:val="0"/>
                <w:szCs w:val="20"/>
                <w:highlight w:val="none"/>
                <w:lang w:eastAsia="zh-Hans"/>
              </w:rPr>
            </w:pPr>
            <w:r>
              <w:rPr>
                <w:rFonts w:hint="eastAsia" w:ascii="Calibri" w:hAnsi="Calibri" w:eastAsia="宋体" w:cs="Times New Roman"/>
                <w:kern w:val="0"/>
                <w:szCs w:val="20"/>
                <w:highlight w:val="none"/>
                <w:lang w:eastAsia="zh-Hans"/>
              </w:rPr>
              <w:t>序号</w:t>
            </w:r>
          </w:p>
        </w:tc>
        <w:tc>
          <w:tcPr>
            <w:tcW w:w="1718" w:type="pct"/>
            <w:tcBorders>
              <w:top w:val="single" w:color="auto" w:sz="4" w:space="0"/>
              <w:left w:val="single" w:color="auto" w:sz="4" w:space="0"/>
              <w:bottom w:val="single" w:color="auto" w:sz="4" w:space="0"/>
              <w:right w:val="single" w:color="auto" w:sz="4" w:space="0"/>
            </w:tcBorders>
            <w:vAlign w:val="center"/>
          </w:tcPr>
          <w:p w14:paraId="46CADC5D">
            <w:pPr>
              <w:ind w:firstLine="840" w:firstLineChars="400"/>
              <w:jc w:val="left"/>
              <w:rPr>
                <w:rFonts w:ascii="Calibri" w:hAnsi="Calibri" w:eastAsia="宋体" w:cs="Times New Roman"/>
                <w:kern w:val="0"/>
                <w:szCs w:val="20"/>
                <w:highlight w:val="none"/>
                <w:lang w:eastAsia="zh-Hans"/>
              </w:rPr>
            </w:pPr>
            <w:r>
              <w:rPr>
                <w:rFonts w:hint="eastAsia" w:ascii="Calibri" w:hAnsi="Calibri" w:eastAsia="宋体" w:cs="Times New Roman"/>
                <w:kern w:val="0"/>
                <w:szCs w:val="20"/>
                <w:highlight w:val="none"/>
                <w:lang w:eastAsia="zh-Hans"/>
              </w:rPr>
              <w:t>技术服务项目</w:t>
            </w:r>
          </w:p>
        </w:tc>
        <w:tc>
          <w:tcPr>
            <w:tcW w:w="2719" w:type="pct"/>
            <w:tcBorders>
              <w:top w:val="single" w:color="auto" w:sz="4" w:space="0"/>
              <w:left w:val="single" w:color="auto" w:sz="4" w:space="0"/>
              <w:bottom w:val="single" w:color="auto" w:sz="4" w:space="0"/>
              <w:right w:val="single" w:color="auto" w:sz="4" w:space="0"/>
            </w:tcBorders>
            <w:vAlign w:val="center"/>
          </w:tcPr>
          <w:p w14:paraId="6F74B82B">
            <w:pPr>
              <w:ind w:firstLine="1260" w:firstLineChars="600"/>
              <w:jc w:val="left"/>
              <w:rPr>
                <w:rFonts w:ascii="Calibri" w:hAnsi="Calibri" w:eastAsia="宋体" w:cs="Times New Roman"/>
                <w:kern w:val="0"/>
                <w:szCs w:val="20"/>
                <w:highlight w:val="none"/>
                <w:lang w:eastAsia="zh-Hans"/>
              </w:rPr>
            </w:pPr>
            <w:r>
              <w:rPr>
                <w:rFonts w:hint="eastAsia" w:ascii="Calibri" w:hAnsi="Calibri" w:eastAsia="宋体" w:cs="Times New Roman"/>
                <w:kern w:val="0"/>
                <w:szCs w:val="20"/>
                <w:highlight w:val="none"/>
                <w:lang w:eastAsia="zh-Hans"/>
              </w:rPr>
              <w:t>项目内容</w:t>
            </w:r>
          </w:p>
        </w:tc>
      </w:tr>
      <w:tr w14:paraId="6064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3" w:type="pct"/>
            <w:tcBorders>
              <w:top w:val="single" w:color="auto" w:sz="4" w:space="0"/>
              <w:left w:val="single" w:color="auto" w:sz="4" w:space="0"/>
              <w:bottom w:val="single" w:color="auto" w:sz="4" w:space="0"/>
              <w:right w:val="single" w:color="auto" w:sz="4" w:space="0"/>
            </w:tcBorders>
            <w:vAlign w:val="center"/>
          </w:tcPr>
          <w:p w14:paraId="4A4857C8">
            <w:pPr>
              <w:ind w:firstLine="210" w:firstLineChars="100"/>
              <w:jc w:val="left"/>
              <w:rPr>
                <w:rFonts w:ascii="Calibri" w:hAnsi="Calibri" w:eastAsia="宋体" w:cs="Times New Roman"/>
                <w:color w:val="000000" w:themeColor="text1"/>
                <w:kern w:val="0"/>
                <w:szCs w:val="20"/>
                <w:highlight w:val="none"/>
                <w:lang w:eastAsia="zh-Hans"/>
                <w14:textFill>
                  <w14:solidFill>
                    <w14:schemeClr w14:val="tx1"/>
                  </w14:solidFill>
                </w14:textFill>
              </w:rPr>
            </w:pPr>
            <w:r>
              <w:rPr>
                <w:rFonts w:ascii="Calibri" w:hAnsi="Calibri" w:eastAsia="宋体" w:cs="Times New Roman"/>
                <w:color w:val="000000" w:themeColor="text1"/>
                <w:kern w:val="0"/>
                <w:szCs w:val="20"/>
                <w:highlight w:val="none"/>
                <w:lang w:eastAsia="zh-Hans"/>
                <w14:textFill>
                  <w14:solidFill>
                    <w14:schemeClr w14:val="tx1"/>
                  </w14:solidFill>
                </w14:textFill>
              </w:rPr>
              <w:t>1</w:t>
            </w:r>
          </w:p>
        </w:tc>
        <w:tc>
          <w:tcPr>
            <w:tcW w:w="1718" w:type="pct"/>
            <w:vMerge w:val="restart"/>
            <w:tcBorders>
              <w:top w:val="single" w:color="auto" w:sz="4" w:space="0"/>
              <w:left w:val="single" w:color="auto" w:sz="4" w:space="0"/>
              <w:bottom w:val="single" w:color="auto" w:sz="4" w:space="0"/>
              <w:right w:val="single" w:color="auto" w:sz="4" w:space="0"/>
            </w:tcBorders>
            <w:vAlign w:val="center"/>
          </w:tcPr>
          <w:p w14:paraId="545C6EB1">
            <w:pPr>
              <w:jc w:val="left"/>
              <w:rPr>
                <w:rFonts w:ascii="Calibri" w:hAnsi="Calibri" w:eastAsia="宋体" w:cs="Times New Roman"/>
                <w:color w:val="000000" w:themeColor="text1"/>
                <w:kern w:val="0"/>
                <w:szCs w:val="20"/>
                <w:highlight w:val="none"/>
                <w:lang w:eastAsia="zh-Hans"/>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肠癌基因甲基化</w:t>
            </w:r>
            <w:r>
              <w:rPr>
                <w:rFonts w:hint="eastAsia" w:ascii="宋体" w:hAnsi="宋体" w:eastAsia="宋体" w:cs="宋体"/>
                <w:color w:val="000000" w:themeColor="text1"/>
                <w:sz w:val="24"/>
                <w:highlight w:val="none"/>
                <w14:textFill>
                  <w14:solidFill>
                    <w14:schemeClr w14:val="tx1"/>
                  </w14:solidFill>
                </w14:textFill>
              </w:rPr>
              <w:t>检测服务</w:t>
            </w:r>
          </w:p>
        </w:tc>
        <w:tc>
          <w:tcPr>
            <w:tcW w:w="2719" w:type="pct"/>
            <w:tcBorders>
              <w:top w:val="single" w:color="auto" w:sz="4" w:space="0"/>
              <w:left w:val="single" w:color="auto" w:sz="4" w:space="0"/>
              <w:bottom w:val="single" w:color="auto" w:sz="4" w:space="0"/>
              <w:right w:val="single" w:color="auto" w:sz="4" w:space="0"/>
            </w:tcBorders>
            <w:vAlign w:val="center"/>
          </w:tcPr>
          <w:p w14:paraId="790F70BC">
            <w:pPr>
              <w:ind w:firstLine="480"/>
              <w:rPr>
                <w:rFonts w:ascii="Calibri" w:hAnsi="Calibri" w:eastAsia="宋体" w:cs="Times New Roman"/>
                <w:color w:val="000000" w:themeColor="text1"/>
                <w:kern w:val="0"/>
                <w:szCs w:val="20"/>
                <w:highlight w:val="none"/>
                <w:lang w:eastAsia="zh-Hans"/>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肠癌基因甲基化</w:t>
            </w:r>
            <w:r>
              <w:rPr>
                <w:rFonts w:hint="eastAsia" w:ascii="宋体" w:hAnsi="宋体" w:eastAsia="宋体" w:cs="宋体"/>
                <w:color w:val="000000" w:themeColor="text1"/>
                <w:sz w:val="24"/>
                <w:highlight w:val="none"/>
                <w14:textFill>
                  <w14:solidFill>
                    <w14:schemeClr w14:val="tx1"/>
                  </w14:solidFill>
                </w14:textFill>
              </w:rPr>
              <w:t>检测服务</w:t>
            </w:r>
            <w:r>
              <w:rPr>
                <w:rFonts w:hint="eastAsia" w:ascii="Calibri" w:hAnsi="Calibri" w:eastAsia="宋体" w:cs="Times New Roman"/>
                <w:color w:val="000000" w:themeColor="text1"/>
                <w:kern w:val="0"/>
                <w:szCs w:val="20"/>
                <w:highlight w:val="none"/>
                <w:lang w:eastAsia="zh-Hans"/>
                <w14:textFill>
                  <w14:solidFill>
                    <w14:schemeClr w14:val="tx1"/>
                  </w14:solidFill>
                </w14:textFill>
              </w:rPr>
              <w:t>（血液）</w:t>
            </w:r>
          </w:p>
        </w:tc>
      </w:tr>
      <w:tr w14:paraId="4D64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Borders>
              <w:top w:val="single" w:color="auto" w:sz="4" w:space="0"/>
              <w:left w:val="single" w:color="auto" w:sz="4" w:space="0"/>
              <w:bottom w:val="single" w:color="auto" w:sz="4" w:space="0"/>
              <w:right w:val="single" w:color="auto" w:sz="4" w:space="0"/>
            </w:tcBorders>
            <w:vAlign w:val="center"/>
          </w:tcPr>
          <w:p w14:paraId="19F89A67">
            <w:pPr>
              <w:ind w:firstLine="210" w:firstLineChars="100"/>
              <w:jc w:val="left"/>
              <w:rPr>
                <w:rFonts w:ascii="Calibri" w:hAnsi="Calibri" w:eastAsia="宋体" w:cs="Times New Roman"/>
                <w:color w:val="000000" w:themeColor="text1"/>
                <w:kern w:val="0"/>
                <w:szCs w:val="20"/>
                <w:highlight w:val="none"/>
                <w:lang w:eastAsia="zh-Hans"/>
                <w14:textFill>
                  <w14:solidFill>
                    <w14:schemeClr w14:val="tx1"/>
                  </w14:solidFill>
                </w14:textFill>
              </w:rPr>
            </w:pPr>
            <w:r>
              <w:rPr>
                <w:rFonts w:ascii="Calibri" w:hAnsi="Calibri" w:eastAsia="宋体" w:cs="Times New Roman"/>
                <w:color w:val="000000" w:themeColor="text1"/>
                <w:kern w:val="0"/>
                <w:szCs w:val="20"/>
                <w:highlight w:val="none"/>
                <w:lang w:eastAsia="zh-Hans"/>
                <w14:textFill>
                  <w14:solidFill>
                    <w14:schemeClr w14:val="tx1"/>
                  </w14:solidFill>
                </w14:textFill>
              </w:rPr>
              <w:t>2</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1482227">
            <w:pPr>
              <w:rPr>
                <w:rFonts w:ascii="Calibri" w:hAnsi="Calibri" w:eastAsia="宋体" w:cs="Times New Roman"/>
                <w:color w:val="000000" w:themeColor="text1"/>
                <w:kern w:val="0"/>
                <w:szCs w:val="20"/>
                <w:highlight w:val="none"/>
                <w:lang w:eastAsia="zh-Hans"/>
                <w14:textFill>
                  <w14:solidFill>
                    <w14:schemeClr w14:val="tx1"/>
                  </w14:solidFill>
                </w14:textFill>
              </w:rPr>
            </w:pPr>
          </w:p>
        </w:tc>
        <w:tc>
          <w:tcPr>
            <w:tcW w:w="2719" w:type="pct"/>
            <w:tcBorders>
              <w:top w:val="single" w:color="auto" w:sz="4" w:space="0"/>
              <w:left w:val="single" w:color="auto" w:sz="4" w:space="0"/>
              <w:bottom w:val="single" w:color="auto" w:sz="4" w:space="0"/>
              <w:right w:val="single" w:color="auto" w:sz="4" w:space="0"/>
            </w:tcBorders>
            <w:vAlign w:val="center"/>
          </w:tcPr>
          <w:p w14:paraId="77532FF8">
            <w:pPr>
              <w:ind w:firstLine="480"/>
              <w:rPr>
                <w:rFonts w:ascii="Calibri" w:hAnsi="Calibri" w:eastAsia="宋体" w:cs="Times New Roman"/>
                <w:color w:val="000000" w:themeColor="text1"/>
                <w:kern w:val="0"/>
                <w:szCs w:val="20"/>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肠癌基因甲基化</w:t>
            </w:r>
            <w:r>
              <w:rPr>
                <w:rFonts w:hint="eastAsia" w:ascii="宋体" w:hAnsi="宋体" w:eastAsia="宋体" w:cs="宋体"/>
                <w:color w:val="000000" w:themeColor="text1"/>
                <w:sz w:val="24"/>
                <w:highlight w:val="none"/>
                <w14:textFill>
                  <w14:solidFill>
                    <w14:schemeClr w14:val="tx1"/>
                  </w14:solidFill>
                </w14:textFill>
              </w:rPr>
              <w:t>检测服务</w:t>
            </w:r>
            <w:r>
              <w:rPr>
                <w:rFonts w:hint="eastAsia" w:ascii="Calibri" w:hAnsi="Calibri" w:eastAsia="宋体" w:cs="Times New Roman"/>
                <w:color w:val="000000" w:themeColor="text1"/>
                <w:kern w:val="0"/>
                <w:szCs w:val="20"/>
                <w:highlight w:val="none"/>
                <w:lang w:eastAsia="zh-Hans"/>
                <w14:textFill>
                  <w14:solidFill>
                    <w14:schemeClr w14:val="tx1"/>
                  </w14:solidFill>
                </w14:textFill>
              </w:rPr>
              <w:t>（粪便）</w:t>
            </w:r>
          </w:p>
        </w:tc>
      </w:tr>
    </w:tbl>
    <w:p w14:paraId="7ED8A787">
      <w:pPr>
        <w:pStyle w:val="8"/>
        <w:spacing w:line="360" w:lineRule="auto"/>
        <w:rPr>
          <w:rFonts w:ascii="宋体" w:hAnsi="宋体" w:eastAsia="宋体" w:cs="宋体"/>
          <w:b/>
          <w:sz w:val="24"/>
          <w:szCs w:val="24"/>
          <w:highlight w:val="none"/>
          <w:lang w:eastAsia="zh-CN"/>
        </w:rPr>
      </w:pPr>
    </w:p>
    <w:p w14:paraId="069EEFAD">
      <w:pPr>
        <w:pStyle w:val="8"/>
        <w:spacing w:line="360" w:lineRule="auto"/>
        <w:rPr>
          <w:rFonts w:ascii="宋体" w:hAnsi="宋体" w:eastAsia="宋体" w:cs="宋体"/>
          <w:b/>
          <w:sz w:val="24"/>
          <w:szCs w:val="24"/>
          <w:highlight w:val="none"/>
        </w:rPr>
      </w:pPr>
    </w:p>
    <w:p w14:paraId="16928765">
      <w:pPr>
        <w:pStyle w:val="8"/>
        <w:spacing w:line="360" w:lineRule="auto"/>
        <w:rPr>
          <w:rFonts w:ascii="宋体" w:hAnsi="宋体" w:eastAsia="宋体" w:cs="宋体"/>
          <w:sz w:val="24"/>
          <w:szCs w:val="24"/>
          <w:highlight w:val="none"/>
        </w:rPr>
      </w:pPr>
      <w:r>
        <w:rPr>
          <w:rFonts w:ascii="宋体" w:hAnsi="宋体" w:eastAsia="宋体" w:cs="宋体"/>
          <w:b/>
          <w:sz w:val="24"/>
          <w:szCs w:val="24"/>
          <w:highlight w:val="none"/>
        </w:rPr>
        <w:t>附表一：</w:t>
      </w:r>
      <w:r>
        <w:rPr>
          <w:rFonts w:hint="default" w:ascii="宋体" w:hAnsi="宋体" w:eastAsia="宋体" w:cs="宋体"/>
          <w:sz w:val="24"/>
          <w:szCs w:val="24"/>
          <w:highlight w:val="none"/>
        </w:rPr>
        <w:t>肠癌基因甲基化</w:t>
      </w:r>
      <w:r>
        <w:rPr>
          <w:rFonts w:ascii="宋体" w:hAnsi="宋体" w:eastAsia="宋体" w:cs="宋体"/>
          <w:sz w:val="24"/>
          <w:szCs w:val="24"/>
          <w:highlight w:val="none"/>
        </w:rPr>
        <w:t>检测服务</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56"/>
        <w:gridCol w:w="7278"/>
      </w:tblGrid>
      <w:tr w14:paraId="4AF6B1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vAlign w:val="center"/>
          </w:tcPr>
          <w:p w14:paraId="1766C888">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参数性质</w:t>
            </w:r>
          </w:p>
        </w:tc>
        <w:tc>
          <w:tcPr>
            <w:tcW w:w="456" w:type="dxa"/>
            <w:vAlign w:val="center"/>
          </w:tcPr>
          <w:p w14:paraId="4F5D0326">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序号</w:t>
            </w:r>
          </w:p>
        </w:tc>
        <w:tc>
          <w:tcPr>
            <w:tcW w:w="7278" w:type="dxa"/>
            <w:vAlign w:val="center"/>
          </w:tcPr>
          <w:p w14:paraId="7D7248B5">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具体技术(参数)要求</w:t>
            </w:r>
          </w:p>
        </w:tc>
      </w:tr>
      <w:tr w14:paraId="1272F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vAlign w:val="center"/>
          </w:tcPr>
          <w:p w14:paraId="11A8D4DB">
            <w:pPr>
              <w:spacing w:line="360" w:lineRule="auto"/>
              <w:jc w:val="left"/>
              <w:rPr>
                <w:rFonts w:hint="eastAsia" w:ascii="宋体" w:hAnsi="宋体" w:eastAsia="宋体" w:cs="宋体"/>
                <w:sz w:val="24"/>
                <w:highlight w:val="none"/>
              </w:rPr>
            </w:pPr>
          </w:p>
        </w:tc>
        <w:tc>
          <w:tcPr>
            <w:tcW w:w="456" w:type="dxa"/>
            <w:vAlign w:val="center"/>
          </w:tcPr>
          <w:p w14:paraId="58803FFF">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1</w:t>
            </w:r>
          </w:p>
        </w:tc>
        <w:tc>
          <w:tcPr>
            <w:tcW w:w="7278" w:type="dxa"/>
            <w:vAlign w:val="center"/>
          </w:tcPr>
          <w:p w14:paraId="2A8D89A8">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【一】投标人必须具备肠癌基因甲基化检测能力</w:t>
            </w:r>
          </w:p>
          <w:p w14:paraId="60B1A309">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1.1</w:t>
            </w:r>
            <w:r>
              <w:rPr>
                <w:rFonts w:hint="default" w:ascii="宋体" w:hAnsi="宋体" w:eastAsia="宋体" w:cs="宋体"/>
                <w:color w:val="000000" w:themeColor="text1"/>
                <w:sz w:val="24"/>
                <w:szCs w:val="24"/>
                <w:highlight w:val="none"/>
                <w14:textFill>
                  <w14:solidFill>
                    <w14:schemeClr w14:val="tx1"/>
                  </w14:solidFill>
                </w14:textFill>
              </w:rPr>
              <w:t>肠癌基因甲基化</w:t>
            </w:r>
            <w:r>
              <w:rPr>
                <w:rFonts w:ascii="宋体" w:hAnsi="宋体" w:eastAsia="宋体" w:cs="宋体"/>
                <w:color w:val="000000" w:themeColor="text1"/>
                <w:sz w:val="24"/>
                <w:szCs w:val="24"/>
                <w:highlight w:val="none"/>
                <w14:textFill>
                  <w14:solidFill>
                    <w14:schemeClr w14:val="tx1"/>
                  </w14:solidFill>
                </w14:textFill>
              </w:rPr>
              <w:t>检测服务</w:t>
            </w:r>
            <w:r>
              <w:rPr>
                <w:rFonts w:ascii="Calibri" w:hAnsi="Calibri" w:eastAsia="宋体" w:cs="Times New Roman"/>
                <w:color w:val="000000" w:themeColor="text1"/>
                <w:sz w:val="24"/>
                <w:szCs w:val="24"/>
                <w:highlight w:val="none"/>
                <w14:textFill>
                  <w14:solidFill>
                    <w14:schemeClr w14:val="tx1"/>
                  </w14:solidFill>
                </w14:textFill>
              </w:rPr>
              <w:t>（血液）</w:t>
            </w:r>
          </w:p>
          <w:p w14:paraId="5C5BCC6F">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lang w:eastAsia="zh-CN"/>
              </w:rPr>
              <w:t>▲1、检测试剂用途：产品说明书载明用途为结直肠癌辅助诊断。（提供证明材料）</w:t>
            </w:r>
          </w:p>
          <w:p w14:paraId="44BA39B8">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▲2、检测原理与方法学：基于多重荧光PCR技术进行血液ctDNA甲基化进行检测。（提供证明材料）</w:t>
            </w:r>
          </w:p>
          <w:p w14:paraId="1289391D">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▲3、检测基因必需包含Septin9。（提供证明材料）</w:t>
            </w:r>
          </w:p>
          <w:p w14:paraId="4F60CAC2">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4、样本要求：不少于8</w:t>
            </w:r>
            <w:r>
              <w:rPr>
                <w:rFonts w:hint="default" w:ascii="宋体" w:hAnsi="宋体" w:eastAsia="宋体" w:cs="宋体"/>
                <w:sz w:val="24"/>
                <w:szCs w:val="24"/>
                <w:highlight w:val="none"/>
                <w:lang w:eastAsia="zh-CN"/>
              </w:rPr>
              <w:t>mL</w:t>
            </w:r>
            <w:r>
              <w:rPr>
                <w:rFonts w:ascii="宋体" w:hAnsi="宋体" w:eastAsia="宋体" w:cs="宋体"/>
                <w:sz w:val="24"/>
                <w:szCs w:val="24"/>
                <w:highlight w:val="none"/>
                <w:lang w:eastAsia="zh-CN"/>
              </w:rPr>
              <w:t>外周血。</w:t>
            </w:r>
          </w:p>
          <w:p w14:paraId="04049A73">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▲5、为保障本项目检测服务的临床检测效能，开展检测所选用的诊断试剂，在医疗器械注册临床试验中，结直肠癌检测敏感度≥80%，检测特异性≥90%</w:t>
            </w:r>
            <w:r>
              <w:rPr>
                <w:rFonts w:hint="default" w:ascii="宋体" w:hAnsi="宋体" w:eastAsia="宋体" w:cs="宋体"/>
                <w:sz w:val="24"/>
                <w:szCs w:val="24"/>
                <w:highlight w:val="none"/>
                <w:lang w:eastAsia="zh-CN"/>
              </w:rPr>
              <w:t>。</w:t>
            </w:r>
            <w:r>
              <w:rPr>
                <w:rFonts w:ascii="宋体" w:hAnsi="宋体" w:eastAsia="宋体" w:cs="宋体"/>
                <w:sz w:val="24"/>
                <w:szCs w:val="24"/>
                <w:highlight w:val="none"/>
                <w:lang w:eastAsia="zh-CN"/>
              </w:rPr>
              <w:t>（提供证明材料）</w:t>
            </w:r>
          </w:p>
          <w:p w14:paraId="4D9FACAE">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▲6、为保障本项目检测服务的科学性与检测结果质量，投标人开展检测所选用的诊断试剂，须有公开发表的国内外专业文献作为性能依据。（提供相关文献资料复印件作为证明材料）</w:t>
            </w:r>
          </w:p>
          <w:p w14:paraId="01B063CF">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w:t>
            </w:r>
            <w:r>
              <w:rPr>
                <w:rFonts w:hint="default" w:ascii="宋体" w:hAnsi="宋体" w:eastAsia="宋体" w:cs="宋体"/>
                <w:sz w:val="24"/>
                <w:szCs w:val="24"/>
                <w:highlight w:val="none"/>
                <w:lang w:eastAsia="zh-CN"/>
              </w:rPr>
              <w:t>7</w:t>
            </w:r>
            <w:r>
              <w:rPr>
                <w:rFonts w:ascii="宋体" w:hAnsi="宋体" w:eastAsia="宋体" w:cs="宋体"/>
                <w:sz w:val="24"/>
                <w:szCs w:val="24"/>
                <w:highlight w:val="none"/>
                <w:lang w:eastAsia="zh-CN"/>
              </w:rPr>
              <w:t>、为保障本项目检测服务的临床应用规范性，投标人开展检测所选用的诊断试剂，须有国内或国外权威指南/专家共识予以记载引用。（提供对应的指南或共识原文复印件作为证明材料）</w:t>
            </w:r>
          </w:p>
          <w:p w14:paraId="66F1B272">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8、本项目检测服务所涉及的主要诊断检测试剂需为第三类试剂，投标人须按《医疗器械监督管理条例》提供有效期内的合规资质：第三类试剂须提供生产企业第三类医疗器械生产许可证。（提供有效期内的合规资质证明材料）</w:t>
            </w:r>
          </w:p>
          <w:p w14:paraId="05E2172C">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w:t>
            </w:r>
            <w:r>
              <w:rPr>
                <w:rFonts w:hint="default" w:ascii="宋体" w:hAnsi="宋体" w:eastAsia="宋体" w:cs="宋体"/>
                <w:sz w:val="24"/>
                <w:szCs w:val="24"/>
                <w:highlight w:val="none"/>
                <w:lang w:eastAsia="zh-CN"/>
              </w:rPr>
              <w:t>9</w:t>
            </w:r>
            <w:r>
              <w:rPr>
                <w:rFonts w:ascii="宋体" w:hAnsi="宋体" w:eastAsia="宋体" w:cs="宋体"/>
                <w:sz w:val="24"/>
                <w:szCs w:val="24"/>
                <w:highlight w:val="none"/>
                <w:lang w:eastAsia="zh-CN"/>
              </w:rPr>
              <w:t>、为满足本项目相关科研探索需求，投标人开展检测所选用的诊断试剂具备拓展研究证据（本项不属于试剂盒注册证载明预期用途，仅作为试剂技术能力佐证，项目临床检测严格遵循注册证载明范围执行）：①拥有公开发表的多中心临床研究文献支持结直肠癌早筛相关研究，具备大样本人群真实世界队列证据；②拥有公开发表的多中心临床研究文献支持结直肠癌术后微小残留病灶（MRD）复发风险评估相关研究。（须提供对应的公开发表文献或专家共识复印件作为证明材料。）</w:t>
            </w:r>
          </w:p>
          <w:p w14:paraId="0F35E1C8">
            <w:pPr>
              <w:pStyle w:val="8"/>
              <w:spacing w:line="360" w:lineRule="auto"/>
              <w:rPr>
                <w:rFonts w:ascii="宋体" w:hAnsi="宋体" w:eastAsia="宋体" w:cs="宋体"/>
                <w:sz w:val="24"/>
                <w:szCs w:val="24"/>
                <w:highlight w:val="none"/>
                <w:lang w:eastAsia="zh-CN"/>
              </w:rPr>
            </w:pPr>
          </w:p>
          <w:p w14:paraId="7BF49238">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1.2</w:t>
            </w:r>
            <w:r>
              <w:rPr>
                <w:rFonts w:hint="default" w:ascii="宋体" w:hAnsi="宋体" w:eastAsia="宋体" w:cs="宋体"/>
                <w:color w:val="000000" w:themeColor="text1"/>
                <w:sz w:val="24"/>
                <w:szCs w:val="24"/>
                <w:highlight w:val="none"/>
                <w14:textFill>
                  <w14:solidFill>
                    <w14:schemeClr w14:val="tx1"/>
                  </w14:solidFill>
                </w14:textFill>
              </w:rPr>
              <w:t>肠癌基因甲基化</w:t>
            </w:r>
            <w:r>
              <w:rPr>
                <w:rFonts w:ascii="宋体" w:hAnsi="宋体" w:eastAsia="宋体" w:cs="宋体"/>
                <w:color w:val="000000" w:themeColor="text1"/>
                <w:sz w:val="24"/>
                <w:szCs w:val="24"/>
                <w:highlight w:val="none"/>
                <w14:textFill>
                  <w14:solidFill>
                    <w14:schemeClr w14:val="tx1"/>
                  </w14:solidFill>
                </w14:textFill>
              </w:rPr>
              <w:t>检测服务</w:t>
            </w:r>
            <w:r>
              <w:rPr>
                <w:rFonts w:ascii="Calibri" w:hAnsi="Calibri" w:eastAsia="宋体" w:cs="Times New Roman"/>
                <w:color w:val="000000" w:themeColor="text1"/>
                <w:sz w:val="24"/>
                <w:szCs w:val="24"/>
                <w:highlight w:val="none"/>
                <w14:textFill>
                  <w14:solidFill>
                    <w14:schemeClr w14:val="tx1"/>
                  </w14:solidFill>
                </w14:textFill>
              </w:rPr>
              <w:t>（粪便）</w:t>
            </w:r>
          </w:p>
          <w:p w14:paraId="46EF6774">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lang w:eastAsia="zh-CN"/>
              </w:rPr>
              <w:t>▲1、检测试剂用途：产品说明书载明用途为结直肠癌辅助诊断。（提供证明材料）</w:t>
            </w:r>
          </w:p>
          <w:p w14:paraId="6960A9F9">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▲2、检测原理与方法学：基于多重荧光PCR技术进行粪便ctDNA甲基化进行检测。（提供证明材料）</w:t>
            </w:r>
          </w:p>
          <w:p w14:paraId="3C65B7AF">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▲3、检测基因必需包含SDC2、TFPI2。（提供证明材料）</w:t>
            </w:r>
          </w:p>
          <w:p w14:paraId="25448294">
            <w:pPr>
              <w:pStyle w:val="8"/>
              <w:spacing w:line="360" w:lineRule="auto"/>
              <w:ind w:firstLine="240" w:firstLineChars="100"/>
              <w:rPr>
                <w:rFonts w:ascii="宋体" w:hAnsi="宋体" w:eastAsia="宋体" w:cs="宋体"/>
                <w:sz w:val="24"/>
                <w:szCs w:val="24"/>
                <w:highlight w:val="none"/>
                <w:lang w:eastAsia="zh-CN"/>
              </w:rPr>
            </w:pPr>
            <w:r>
              <w:rPr>
                <w:rFonts w:ascii="宋体" w:hAnsi="宋体" w:eastAsia="宋体" w:cs="宋体"/>
                <w:sz w:val="24"/>
                <w:szCs w:val="24"/>
                <w:highlight w:val="none"/>
                <w:lang w:eastAsia="zh-CN"/>
              </w:rPr>
              <w:t>4、样本要求：不少于5-10g 新鲜粪便。</w:t>
            </w:r>
          </w:p>
          <w:p w14:paraId="4556BE42">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▲5、为保障本项目检测服务的临床检测效能，开展检测所选用的诊断试剂，在医疗器械注册临床试验中，结直肠癌检测敏感度≥90%，检测特异性≥90%</w:t>
            </w:r>
            <w:r>
              <w:rPr>
                <w:rFonts w:hint="default" w:ascii="宋体" w:hAnsi="宋体" w:eastAsia="宋体" w:cs="宋体"/>
                <w:sz w:val="24"/>
                <w:szCs w:val="24"/>
                <w:highlight w:val="none"/>
                <w:lang w:eastAsia="zh-CN"/>
              </w:rPr>
              <w:t>。</w:t>
            </w:r>
            <w:r>
              <w:rPr>
                <w:rFonts w:ascii="宋体" w:hAnsi="宋体" w:eastAsia="宋体" w:cs="宋体"/>
                <w:sz w:val="24"/>
                <w:szCs w:val="24"/>
                <w:highlight w:val="none"/>
                <w:lang w:eastAsia="zh-CN"/>
              </w:rPr>
              <w:t>（提供证明材料）</w:t>
            </w:r>
          </w:p>
          <w:p w14:paraId="2FD179C8">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▲6、为保障本项目检测服务的科学性与检测结果质量，投标人开展检测所选用的诊断试剂，须有公开发表的国内外专业文献作为性能依据。（提供相关文献资料复印件作为证明材料）</w:t>
            </w:r>
          </w:p>
          <w:p w14:paraId="685E9A12">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w:t>
            </w:r>
            <w:r>
              <w:rPr>
                <w:rFonts w:hint="default" w:ascii="宋体" w:hAnsi="宋体" w:eastAsia="宋体" w:cs="宋体"/>
                <w:sz w:val="24"/>
                <w:szCs w:val="24"/>
                <w:highlight w:val="none"/>
                <w:lang w:eastAsia="zh-CN"/>
              </w:rPr>
              <w:t>7</w:t>
            </w:r>
            <w:r>
              <w:rPr>
                <w:rFonts w:ascii="宋体" w:hAnsi="宋体" w:eastAsia="宋体" w:cs="宋体"/>
                <w:sz w:val="24"/>
                <w:szCs w:val="24"/>
                <w:highlight w:val="none"/>
                <w:lang w:eastAsia="zh-CN"/>
              </w:rPr>
              <w:t>、为保障本项目检测服务的临床应用规范性，投标人开展检测所选用的诊断试剂，须有国内或国外权威指南/专家共识予以记载引用。（提供对应的指南或共识原文复印件作为证明材料）</w:t>
            </w:r>
          </w:p>
          <w:p w14:paraId="7FF8B388">
            <w:pPr>
              <w:pStyle w:val="8"/>
              <w:spacing w:line="360" w:lineRule="auto"/>
              <w:rPr>
                <w:rFonts w:ascii="宋体" w:hAnsi="宋体" w:eastAsia="宋体" w:cs="宋体"/>
                <w:sz w:val="24"/>
                <w:szCs w:val="24"/>
                <w:highlight w:val="none"/>
                <w:lang w:eastAsia="zh-CN"/>
              </w:rPr>
            </w:pPr>
            <w:r>
              <w:rPr>
                <w:rFonts w:ascii="宋体" w:hAnsi="宋体" w:eastAsia="宋体" w:cs="宋体"/>
                <w:sz w:val="24"/>
                <w:szCs w:val="24"/>
                <w:highlight w:val="none"/>
                <w:lang w:eastAsia="zh-CN"/>
              </w:rPr>
              <w:t>▲8、本项目检测服务所涉及的主要诊断检测试剂需为第三类试剂，投标人须按《医疗器械监督管理条例》提供有效期内的合规资质：第三类试剂须提供生产企业第三类医疗器械生产许可证。（提供有效期内的合规资质证明材料）</w:t>
            </w:r>
          </w:p>
          <w:p w14:paraId="1FF4A5B5">
            <w:pPr>
              <w:spacing w:line="360" w:lineRule="auto"/>
              <w:jc w:val="left"/>
              <w:rPr>
                <w:rFonts w:hint="eastAsia" w:ascii="宋体" w:hAnsi="宋体" w:eastAsia="宋体" w:cs="宋体"/>
                <w:sz w:val="24"/>
                <w:highlight w:val="none"/>
              </w:rPr>
            </w:pPr>
            <w:r>
              <w:rPr>
                <w:rFonts w:hint="eastAsia" w:ascii="宋体" w:hAnsi="宋体" w:eastAsia="宋体" w:cs="宋体"/>
                <w:kern w:val="0"/>
                <w:sz w:val="24"/>
                <w:highlight w:val="none"/>
              </w:rPr>
              <w:t>▲</w:t>
            </w:r>
            <w:r>
              <w:rPr>
                <w:rFonts w:ascii="宋体" w:hAnsi="宋体" w:eastAsia="宋体" w:cs="宋体"/>
                <w:kern w:val="0"/>
                <w:sz w:val="24"/>
                <w:highlight w:val="none"/>
              </w:rPr>
              <w:t>9</w:t>
            </w:r>
            <w:r>
              <w:rPr>
                <w:rFonts w:hint="eastAsia" w:ascii="宋体" w:hAnsi="宋体" w:eastAsia="宋体" w:cs="宋体"/>
                <w:sz w:val="24"/>
                <w:highlight w:val="none"/>
              </w:rPr>
              <w:t>、为满足本项目相关科研探索需求，投标人开展检测所选用的诊断试剂具备拓展研究证据（本项不属于试剂盒注册证载明预期用途，仅作为试剂技术能力佐证，项目临床检测严格遵循注册证载明范围执行）：①拥有公开发表的多中心临床研究文献支持结直肠癌早筛相关研究，具备大样本人群真实世界队列证据；②拥有公开发表的多中心临床研究文献支持结直肠癌术后微小残留病灶（MRD）复发风险评估相关研究。（须提供对应的公开发表文献或专家共识复印件作为证明材料。）</w:t>
            </w:r>
          </w:p>
          <w:p w14:paraId="1F94A7C7">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【二】基本服务要求</w:t>
            </w:r>
          </w:p>
          <w:p w14:paraId="74E1A6E9">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1.投标人须具备完善的医疗冷链物流和信息服务体系，应保证接收、送检标本运输过程的安全，保证标本的质量。通过CNAS货物运输条件鉴定。</w:t>
            </w:r>
          </w:p>
          <w:p w14:paraId="6752905C">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2.投标人须按需及时上门接收标本，时间为8：30至17：30。遇特殊标本可机动收取。</w:t>
            </w:r>
          </w:p>
          <w:p w14:paraId="726C533C">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3.投标人具备规范的标本接收、登记和包装流程，保证标本的质量和安全，确保标本顺利交接、方便查核。</w:t>
            </w:r>
          </w:p>
          <w:p w14:paraId="538F67AF">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4.投标人标本接收人员应通过严格培训，负责标本质量的初检、标识的核对、标本的接收登记及包装储存。</w:t>
            </w:r>
          </w:p>
          <w:p w14:paraId="54BEE9B1">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5.投标人必须确保及时接收、送检标本并及时检验。标本不符合检验要求时，应及时通知采购人重新取样，并与采购人进行书面确认。</w:t>
            </w:r>
          </w:p>
          <w:p w14:paraId="5BC0CE92">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6.标本在送检过程中出现延迟、遗漏、丢失等情况，投标人应有完善的应急预案予以妥善解决，否则投标人应承担相应责任。</w:t>
            </w:r>
          </w:p>
          <w:p w14:paraId="0E924461">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7.检测项目需要使用的采样器、知情同意书、患者资料登记申请单等由投标人免费提供。</w:t>
            </w:r>
          </w:p>
          <w:p w14:paraId="702C071C">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【三】人员要求：</w:t>
            </w:r>
          </w:p>
          <w:p w14:paraId="431CB3B5">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投标人委派的人员配备必须合理、职责明确，包括项目负责人、技术人员等团队成员需具备医学检验或临床医学相关证书。</w:t>
            </w:r>
          </w:p>
          <w:p w14:paraId="5D417753">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【四】运送车辆要求：</w:t>
            </w:r>
          </w:p>
          <w:p w14:paraId="6832CF0B">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1.投标人具有冷链物流服务能力，配备冷链物流专用车，车辆必须配备专用车载冰箱或保温箱，冰箱或保温箱必须有相应的温度记录表，具备温度监控功能，确保标本运输过程的安全及有效。</w:t>
            </w:r>
          </w:p>
          <w:p w14:paraId="706EE806">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【五】售后服务要求：</w:t>
            </w:r>
          </w:p>
          <w:p w14:paraId="55803224">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1.投标人需提供售后电话、网络查询、微信查询等多种售后（结果查询）渠道，供采购人相关临床部门进行业务咨询、报告查询、账单查询统计。</w:t>
            </w:r>
          </w:p>
          <w:p w14:paraId="2D5FEC4B">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2.投标人应制定完善的售后流程，并派驻具有医学检验背景的专业人员提供上门售后服务。</w:t>
            </w:r>
          </w:p>
          <w:p w14:paraId="7838CD88">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【六】检验结果要求：</w:t>
            </w:r>
          </w:p>
          <w:p w14:paraId="3CE578BC">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1.投标人在收到标本后，应按采购方要求的报告发布时间发出报告。</w:t>
            </w:r>
          </w:p>
          <w:p w14:paraId="7587FEF0">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2.投标人应保证检验结果通过网络实时传送，实现数据的汇总、储存、传输。结果可在网上查询，以供义务人员随时查询结果。</w:t>
            </w:r>
          </w:p>
          <w:p w14:paraId="5086EF98">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3.投标人提供电话查询服务，危急值有专人电话跟进，确保患者检测信息与临床医生的畅通。</w:t>
            </w:r>
          </w:p>
          <w:p w14:paraId="0433BE87">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4.医务人员可随时调阅检验结果，投标人须保证患者资料的准确性和检验结果的及时性，并提供系统使用的必要培训与技术支持。</w:t>
            </w:r>
          </w:p>
          <w:p w14:paraId="1F5C3F43">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5.投标人应及时回传报告（报告形式包括不限于纸质、电子版等），除春节及国庆假期外，其余时间不得随意更改检验周期（报告发出时间）。</w:t>
            </w:r>
          </w:p>
          <w:p w14:paraId="49DE6966">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【7】培训要求：协助医院开展进修培训、协助医院开展继续教育、学术交流活动。</w:t>
            </w:r>
          </w:p>
        </w:tc>
      </w:tr>
      <w:tr w14:paraId="343117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vAlign w:val="center"/>
          </w:tcPr>
          <w:p w14:paraId="7ABBFBB1">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说明</w:t>
            </w:r>
          </w:p>
        </w:tc>
        <w:tc>
          <w:tcPr>
            <w:tcW w:w="7734" w:type="dxa"/>
            <w:gridSpan w:val="2"/>
            <w:vAlign w:val="center"/>
          </w:tcPr>
          <w:p w14:paraId="1ADF97A2">
            <w:pPr>
              <w:pStyle w:val="8"/>
              <w:spacing w:line="360" w:lineRule="auto"/>
              <w:rPr>
                <w:rFonts w:ascii="宋体" w:hAnsi="宋体" w:eastAsia="宋体" w:cs="宋体"/>
                <w:sz w:val="24"/>
                <w:szCs w:val="24"/>
                <w:highlight w:val="none"/>
              </w:rPr>
            </w:pPr>
            <w:r>
              <w:rPr>
                <w:rFonts w:ascii="宋体" w:hAnsi="宋体" w:eastAsia="宋体" w:cs="宋体"/>
                <w:sz w:val="24"/>
                <w:szCs w:val="24"/>
                <w:highlight w:val="none"/>
              </w:rPr>
              <w:t>打“★”号条款为实质性条款，若有任何一条负偏离或不满足则导致投标无效。</w:t>
            </w:r>
            <w:r>
              <w:rPr>
                <w:rFonts w:ascii="宋体" w:hAnsi="宋体" w:eastAsia="宋体" w:cs="宋体"/>
                <w:sz w:val="24"/>
                <w:szCs w:val="24"/>
                <w:highlight w:val="none"/>
              </w:rPr>
              <w:br w:type="textWrapping"/>
            </w:r>
            <w:r>
              <w:rPr>
                <w:rFonts w:ascii="宋体" w:hAnsi="宋体" w:eastAsia="宋体" w:cs="宋体"/>
                <w:sz w:val="24"/>
                <w:szCs w:val="24"/>
                <w:highlight w:val="none"/>
              </w:rPr>
              <w:t>打“▲”号条款为重要技术参数，若有部分“▲”条款未响应或不满足，将导致其响应性评审加重扣分，但不作为无效投标条款。</w:t>
            </w:r>
          </w:p>
        </w:tc>
      </w:tr>
    </w:tbl>
    <w:p w14:paraId="055172B0">
      <w:pPr>
        <w:spacing w:line="360" w:lineRule="auto"/>
        <w:rPr>
          <w:rFonts w:hint="eastAsia" w:ascii="宋体" w:hAnsi="宋体" w:eastAsia="宋体" w:cs="宋体"/>
          <w:sz w:val="24"/>
          <w:highlight w:val="none"/>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FEB9DA"/>
    <w:multiLevelType w:val="singleLevel"/>
    <w:tmpl w:val="7FFEB9DA"/>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724C04"/>
    <w:rsid w:val="00110242"/>
    <w:rsid w:val="0011723A"/>
    <w:rsid w:val="001E3A78"/>
    <w:rsid w:val="00466FA8"/>
    <w:rsid w:val="004E1F2F"/>
    <w:rsid w:val="00780FF3"/>
    <w:rsid w:val="0096754A"/>
    <w:rsid w:val="00A44B5C"/>
    <w:rsid w:val="00A50345"/>
    <w:rsid w:val="00B5171E"/>
    <w:rsid w:val="00E519EA"/>
    <w:rsid w:val="01CF7782"/>
    <w:rsid w:val="02CE3596"/>
    <w:rsid w:val="036C34DA"/>
    <w:rsid w:val="0383283E"/>
    <w:rsid w:val="039667A9"/>
    <w:rsid w:val="06497B03"/>
    <w:rsid w:val="08512C9F"/>
    <w:rsid w:val="0A2C39C3"/>
    <w:rsid w:val="0BF71DAF"/>
    <w:rsid w:val="0D501777"/>
    <w:rsid w:val="0DB55A7E"/>
    <w:rsid w:val="0DD979BE"/>
    <w:rsid w:val="0DF20A80"/>
    <w:rsid w:val="0E0554FA"/>
    <w:rsid w:val="0F144A26"/>
    <w:rsid w:val="0F274759"/>
    <w:rsid w:val="0FA364D6"/>
    <w:rsid w:val="102962AF"/>
    <w:rsid w:val="10CF32FA"/>
    <w:rsid w:val="13491142"/>
    <w:rsid w:val="153F3FE7"/>
    <w:rsid w:val="155B515D"/>
    <w:rsid w:val="15BB713F"/>
    <w:rsid w:val="17793FC0"/>
    <w:rsid w:val="17935082"/>
    <w:rsid w:val="1840063A"/>
    <w:rsid w:val="1ABF7F3C"/>
    <w:rsid w:val="1B59213E"/>
    <w:rsid w:val="1C6C2EAA"/>
    <w:rsid w:val="1CF57C45"/>
    <w:rsid w:val="1D530C12"/>
    <w:rsid w:val="1FFC12EA"/>
    <w:rsid w:val="230A1F70"/>
    <w:rsid w:val="248D2E59"/>
    <w:rsid w:val="25F70FED"/>
    <w:rsid w:val="2637307C"/>
    <w:rsid w:val="27B150B0"/>
    <w:rsid w:val="2CAD4841"/>
    <w:rsid w:val="2DFF6B75"/>
    <w:rsid w:val="2E921798"/>
    <w:rsid w:val="323D5EBE"/>
    <w:rsid w:val="34CC177B"/>
    <w:rsid w:val="355A6D87"/>
    <w:rsid w:val="394E09B1"/>
    <w:rsid w:val="39B60304"/>
    <w:rsid w:val="3A4D2A17"/>
    <w:rsid w:val="3A891563"/>
    <w:rsid w:val="3AC031CF"/>
    <w:rsid w:val="3E5B0ACD"/>
    <w:rsid w:val="3E6B790F"/>
    <w:rsid w:val="3E9926CE"/>
    <w:rsid w:val="3F964E60"/>
    <w:rsid w:val="41991132"/>
    <w:rsid w:val="41B617E9"/>
    <w:rsid w:val="42725710"/>
    <w:rsid w:val="42FF2D1C"/>
    <w:rsid w:val="46A63BDA"/>
    <w:rsid w:val="46B06807"/>
    <w:rsid w:val="46E14C12"/>
    <w:rsid w:val="48847F4B"/>
    <w:rsid w:val="4A113742"/>
    <w:rsid w:val="4C910E89"/>
    <w:rsid w:val="4D4E28D6"/>
    <w:rsid w:val="4EBE3EEA"/>
    <w:rsid w:val="4EE259CC"/>
    <w:rsid w:val="515F1555"/>
    <w:rsid w:val="51750D79"/>
    <w:rsid w:val="520914C1"/>
    <w:rsid w:val="52760316"/>
    <w:rsid w:val="52A35200"/>
    <w:rsid w:val="530F48B5"/>
    <w:rsid w:val="544D38E7"/>
    <w:rsid w:val="5486504B"/>
    <w:rsid w:val="54C3004D"/>
    <w:rsid w:val="54D51B2F"/>
    <w:rsid w:val="550A5C7C"/>
    <w:rsid w:val="568455BA"/>
    <w:rsid w:val="571C3A45"/>
    <w:rsid w:val="57234DD3"/>
    <w:rsid w:val="57405985"/>
    <w:rsid w:val="57FF75EE"/>
    <w:rsid w:val="58737694"/>
    <w:rsid w:val="594F0101"/>
    <w:rsid w:val="5BE72873"/>
    <w:rsid w:val="5EAE58CA"/>
    <w:rsid w:val="5ED9136C"/>
    <w:rsid w:val="5FFF6206"/>
    <w:rsid w:val="615F643A"/>
    <w:rsid w:val="61A62889"/>
    <w:rsid w:val="61A66D2D"/>
    <w:rsid w:val="67EE4F89"/>
    <w:rsid w:val="67F82A0F"/>
    <w:rsid w:val="68DE0B5A"/>
    <w:rsid w:val="691B0000"/>
    <w:rsid w:val="6938470E"/>
    <w:rsid w:val="69BD10B7"/>
    <w:rsid w:val="6A9260A0"/>
    <w:rsid w:val="6A9C35C2"/>
    <w:rsid w:val="6AC220ED"/>
    <w:rsid w:val="6B497849"/>
    <w:rsid w:val="6B8F25DF"/>
    <w:rsid w:val="6BBA1E16"/>
    <w:rsid w:val="6C9003BD"/>
    <w:rsid w:val="6CE64481"/>
    <w:rsid w:val="6DBE8F10"/>
    <w:rsid w:val="6EEA46FD"/>
    <w:rsid w:val="6FFDB47E"/>
    <w:rsid w:val="702E5B63"/>
    <w:rsid w:val="71B56097"/>
    <w:rsid w:val="72A42E14"/>
    <w:rsid w:val="73682094"/>
    <w:rsid w:val="74406B6D"/>
    <w:rsid w:val="74980757"/>
    <w:rsid w:val="758B206A"/>
    <w:rsid w:val="78345A42"/>
    <w:rsid w:val="78482494"/>
    <w:rsid w:val="78A84CE1"/>
    <w:rsid w:val="79EE2BC7"/>
    <w:rsid w:val="7A724C04"/>
    <w:rsid w:val="7C5A2796"/>
    <w:rsid w:val="7C655F22"/>
    <w:rsid w:val="7CD51E1C"/>
    <w:rsid w:val="7E2B263C"/>
    <w:rsid w:val="7E900504"/>
    <w:rsid w:val="7EC860DC"/>
    <w:rsid w:val="7EDF5339"/>
    <w:rsid w:val="7FBF08DE"/>
    <w:rsid w:val="AF9A5029"/>
    <w:rsid w:val="BCEFE279"/>
    <w:rsid w:val="BD9D8C8E"/>
    <w:rsid w:val="C519D936"/>
    <w:rsid w:val="CED55D14"/>
    <w:rsid w:val="EBFE7532"/>
    <w:rsid w:val="EDBA635E"/>
    <w:rsid w:val="EDF73056"/>
    <w:rsid w:val="EFEC8860"/>
    <w:rsid w:val="F7BFFEAD"/>
    <w:rsid w:val="FF7DEEB3"/>
    <w:rsid w:val="FFB2F5FE"/>
    <w:rsid w:val="FFFFF2E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2"/>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null3"/>
    <w:hidden/>
    <w:qFormat/>
    <w:uiPriority w:val="0"/>
    <w:rPr>
      <w:rFonts w:hint="eastAsia" w:asciiTheme="minorHAnsi" w:hAnsiTheme="minorHAnsi" w:eastAsiaTheme="minorEastAsia" w:cstheme="minorBidi"/>
      <w:lang w:val="en-US" w:eastAsia="zh-Hans" w:bidi="ar-SA"/>
    </w:rPr>
  </w:style>
  <w:style w:type="table" w:customStyle="1" w:styleId="9">
    <w:name w:val="网格型1"/>
    <w:basedOn w:val="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1">
    <w:name w:val="页眉 字符"/>
    <w:basedOn w:val="6"/>
    <w:link w:val="3"/>
    <w:qFormat/>
    <w:uiPriority w:val="0"/>
    <w:rPr>
      <w:rFonts w:asciiTheme="minorHAnsi" w:hAnsiTheme="minorHAnsi" w:eastAsiaTheme="minorEastAsia" w:cstheme="minorBidi"/>
      <w:kern w:val="2"/>
      <w:sz w:val="18"/>
      <w:szCs w:val="18"/>
    </w:rPr>
  </w:style>
  <w:style w:type="character" w:customStyle="1" w:styleId="12">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4093</Words>
  <Characters>4196</Characters>
  <Lines>227</Lines>
  <Paragraphs>210</Paragraphs>
  <TotalTime>18</TotalTime>
  <ScaleCrop>false</ScaleCrop>
  <LinksUpToDate>false</LinksUpToDate>
  <CharactersWithSpaces>4198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2025-11-08T01:03:00Z</dcterms:created>
  <dc:creator>SHH</dc:creator>
  <cp:lastModifiedBy>阿坚</cp:lastModifiedBy>
  <dcterms:modified xsi:type="dcterms:W3CDTF">2026-09-15T07:43:24Z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57621044D6914D1AB3BCA235AE36AC8B_13</vt:lpwstr>
  </property>
  <property fmtid="{D5CDD505-2E9C-101B-9397-08002B2CF9AE}" pid="4" name="KSOTemplateDocerSaveRecord">
    <vt:lpwstr>eyJoZGlkIjoiMGFkYTIxNGRjNWRjZTg5NWIxMjI1N2QzNWQ4ZTgwYTQiLCJ1c2VySWQiOiIyMjY0NjUzODUifQ==</vt:lpwstr>
  </property>
</Properties>
</file>