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val="en-US" w:eastAsia="zh-CN"/>
        </w:rPr>
      </w:pPr>
      <w:r>
        <w:rPr>
          <w:rFonts w:hint="eastAsia" w:ascii="方正小标宋简体" w:hAnsi="方正小标宋简体" w:eastAsia="方正小标宋简体" w:cs="方正小标宋简体"/>
          <w:kern w:val="0"/>
          <w:sz w:val="32"/>
          <w:szCs w:val="32"/>
          <w:lang w:val="en-US" w:eastAsia="zh-CN"/>
        </w:rPr>
        <w:t>医学遗传中心罕见病遗传基因检测外送项目(YW</w:t>
      </w:r>
      <w:bookmarkStart w:id="0" w:name="_GoBack"/>
      <w:bookmarkEnd w:id="0"/>
      <w:r>
        <w:rPr>
          <w:rFonts w:hint="eastAsia" w:ascii="方正小标宋简体" w:hAnsi="方正小标宋简体" w:eastAsia="方正小标宋简体" w:cs="方正小标宋简体"/>
          <w:kern w:val="0"/>
          <w:sz w:val="32"/>
          <w:szCs w:val="32"/>
          <w:lang w:val="en-US" w:eastAsia="zh-CN"/>
        </w:rPr>
        <w:t>20260162）</w:t>
      </w:r>
    </w:p>
    <w:tbl>
      <w:tblPr>
        <w:tblStyle w:val="8"/>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57" w:type="dxa"/>
          <w:left w:w="108" w:type="dxa"/>
          <w:bottom w:w="57" w:type="dxa"/>
          <w:right w:w="108" w:type="dxa"/>
        </w:tblCellMar>
      </w:tblPr>
      <w:tblGrid>
        <w:gridCol w:w="579"/>
        <w:gridCol w:w="7218"/>
        <w:gridCol w:w="531"/>
        <w:gridCol w:w="858"/>
        <w:gridCol w:w="1333"/>
      </w:tblGrid>
      <w:tr w14:paraId="5417F5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tblHeader/>
          <w:jc w:val="center"/>
        </w:trPr>
        <w:tc>
          <w:tcPr>
            <w:tcW w:w="579" w:type="dxa"/>
            <w:shd w:val="clear" w:color="auto" w:fill="auto"/>
            <w:vAlign w:val="center"/>
          </w:tcPr>
          <w:p w14:paraId="51A882A8">
            <w:pPr>
              <w:keepNext w:val="0"/>
              <w:keepLines w:val="0"/>
              <w:pageBreakBefore w:val="0"/>
              <w:widowControl/>
              <w:kinsoku/>
              <w:wordWrap/>
              <w:overflowPunct/>
              <w:topLinePunct w:val="0"/>
              <w:autoSpaceDE/>
              <w:autoSpaceDN/>
              <w:bidi w:val="0"/>
              <w:adjustRightInd w:val="0"/>
              <w:snapToGrid w:val="0"/>
              <w:spacing w:line="260" w:lineRule="exact"/>
              <w:jc w:val="center"/>
              <w:textAlignment w:val="center"/>
              <w:rPr>
                <w:rFonts w:hint="default" w:ascii="宋体" w:hAnsi="宋体" w:eastAsia="宋体" w:cs="宋体"/>
                <w:b/>
                <w:bCs/>
                <w:color w:val="000000"/>
                <w:kern w:val="2"/>
                <w:sz w:val="21"/>
                <w:szCs w:val="21"/>
                <w:lang w:val="en-US" w:eastAsia="zh-CN" w:bidi="ar-SA"/>
              </w:rPr>
            </w:pPr>
            <w:r>
              <w:rPr>
                <w:rFonts w:hint="eastAsia" w:ascii="宋体" w:hAnsi="宋体" w:cs="宋体"/>
                <w:b/>
                <w:bCs/>
                <w:color w:val="000000"/>
                <w:kern w:val="2"/>
                <w:sz w:val="21"/>
                <w:szCs w:val="21"/>
                <w:lang w:val="en-US" w:eastAsia="zh-CN" w:bidi="ar-SA"/>
              </w:rPr>
              <w:t>序号</w:t>
            </w:r>
          </w:p>
        </w:tc>
        <w:tc>
          <w:tcPr>
            <w:tcW w:w="7218" w:type="dxa"/>
            <w:shd w:val="clear" w:color="auto" w:fill="auto"/>
            <w:vAlign w:val="center"/>
          </w:tcPr>
          <w:p w14:paraId="0B1B3FEB">
            <w:pPr>
              <w:keepNext w:val="0"/>
              <w:keepLines w:val="0"/>
              <w:pageBreakBefore w:val="0"/>
              <w:widowControl/>
              <w:kinsoku/>
              <w:wordWrap/>
              <w:overflowPunct/>
              <w:topLinePunct w:val="0"/>
              <w:autoSpaceDE/>
              <w:autoSpaceDN/>
              <w:bidi w:val="0"/>
              <w:adjustRightInd w:val="0"/>
              <w:snapToGrid w:val="0"/>
              <w:spacing w:line="260" w:lineRule="exact"/>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 w:val="21"/>
                <w:szCs w:val="21"/>
                <w:lang w:bidi="ar"/>
              </w:rPr>
              <w:t>评分标准</w:t>
            </w:r>
          </w:p>
        </w:tc>
        <w:tc>
          <w:tcPr>
            <w:tcW w:w="483" w:type="dxa"/>
            <w:vAlign w:val="center"/>
          </w:tcPr>
          <w:p w14:paraId="2BAB717A">
            <w:pPr>
              <w:keepNext w:val="0"/>
              <w:keepLines w:val="0"/>
              <w:pageBreakBefore w:val="0"/>
              <w:widowControl/>
              <w:kinsoku/>
              <w:wordWrap/>
              <w:overflowPunct/>
              <w:topLinePunct w:val="0"/>
              <w:autoSpaceDE/>
              <w:autoSpaceDN/>
              <w:bidi w:val="0"/>
              <w:adjustRightInd w:val="0"/>
              <w:snapToGrid w:val="0"/>
              <w:spacing w:line="260" w:lineRule="exact"/>
              <w:jc w:val="center"/>
              <w:textAlignment w:val="center"/>
              <w:rPr>
                <w:rFonts w:hint="eastAsia" w:ascii="宋体" w:hAnsi="宋体" w:eastAsia="宋体" w:cs="宋体"/>
                <w:sz w:val="21"/>
                <w:szCs w:val="21"/>
                <w:highlight w:val="none"/>
              </w:rPr>
            </w:pPr>
            <w:r>
              <w:rPr>
                <w:rFonts w:hint="eastAsia" w:ascii="宋体" w:hAnsi="宋体" w:eastAsia="宋体" w:cs="宋体"/>
                <w:b/>
                <w:bCs/>
                <w:color w:val="000000"/>
                <w:kern w:val="0"/>
                <w:sz w:val="21"/>
                <w:szCs w:val="21"/>
                <w:lang w:bidi="ar"/>
              </w:rPr>
              <w:t>分值</w:t>
            </w:r>
          </w:p>
        </w:tc>
        <w:tc>
          <w:tcPr>
            <w:tcW w:w="858" w:type="dxa"/>
            <w:vAlign w:val="center"/>
          </w:tcPr>
          <w:p w14:paraId="62385689">
            <w:pPr>
              <w:keepNext w:val="0"/>
              <w:keepLines w:val="0"/>
              <w:pageBreakBefore w:val="0"/>
              <w:widowControl/>
              <w:kinsoku/>
              <w:wordWrap/>
              <w:overflowPunct/>
              <w:topLinePunct w:val="0"/>
              <w:autoSpaceDE/>
              <w:autoSpaceDN/>
              <w:bidi w:val="0"/>
              <w:adjustRightInd w:val="0"/>
              <w:snapToGrid w:val="0"/>
              <w:spacing w:line="260" w:lineRule="exact"/>
              <w:jc w:val="center"/>
              <w:textAlignment w:val="center"/>
              <w:rPr>
                <w:rFonts w:hint="eastAsia" w:ascii="宋体" w:hAnsi="宋体" w:eastAsia="宋体" w:cs="宋体"/>
                <w:sz w:val="21"/>
                <w:szCs w:val="21"/>
                <w:highlight w:val="none"/>
              </w:rPr>
            </w:pPr>
            <w:r>
              <w:rPr>
                <w:rFonts w:hint="eastAsia" w:ascii="宋体" w:hAnsi="宋体" w:eastAsia="宋体" w:cs="宋体"/>
                <w:b/>
                <w:bCs/>
                <w:color w:val="000000"/>
                <w:sz w:val="21"/>
                <w:szCs w:val="21"/>
              </w:rPr>
              <w:t>自评分</w:t>
            </w:r>
          </w:p>
        </w:tc>
        <w:tc>
          <w:tcPr>
            <w:tcW w:w="1333" w:type="dxa"/>
            <w:vAlign w:val="center"/>
          </w:tcPr>
          <w:p w14:paraId="056DDCD7">
            <w:pPr>
              <w:keepNext w:val="0"/>
              <w:keepLines w:val="0"/>
              <w:pageBreakBefore w:val="0"/>
              <w:widowControl/>
              <w:kinsoku/>
              <w:wordWrap/>
              <w:overflowPunct/>
              <w:topLinePunct w:val="0"/>
              <w:autoSpaceDE/>
              <w:autoSpaceDN/>
              <w:bidi w:val="0"/>
              <w:adjustRightInd w:val="0"/>
              <w:snapToGrid w:val="0"/>
              <w:spacing w:line="260" w:lineRule="exact"/>
              <w:jc w:val="center"/>
              <w:textAlignment w:val="center"/>
              <w:rPr>
                <w:rFonts w:hint="eastAsia" w:ascii="宋体" w:hAnsi="宋体" w:eastAsia="宋体" w:cs="宋体"/>
                <w:sz w:val="21"/>
                <w:szCs w:val="21"/>
                <w:highlight w:val="none"/>
              </w:rPr>
            </w:pPr>
            <w:r>
              <w:rPr>
                <w:rFonts w:hint="eastAsia" w:ascii="宋体" w:hAnsi="宋体" w:eastAsia="宋体" w:cs="宋体"/>
                <w:b/>
                <w:bCs/>
                <w:color w:val="000000"/>
                <w:sz w:val="21"/>
                <w:szCs w:val="21"/>
              </w:rPr>
              <w:t>佐证材料对应页码</w:t>
            </w:r>
          </w:p>
        </w:tc>
      </w:tr>
      <w:tr w14:paraId="5E49AA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25E7B769">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rPr>
              <w:t>1</w:t>
            </w:r>
          </w:p>
        </w:tc>
        <w:tc>
          <w:tcPr>
            <w:tcW w:w="7218" w:type="dxa"/>
            <w:vAlign w:val="top"/>
          </w:tcPr>
          <w:p w14:paraId="5FE736F6">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rPr>
              <w:t>捕获探针稳定性</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提供双链DNA探针进行捕获富集，提供探针说明或专利证明，完整资料者得10分，未提供不得分</w:t>
            </w:r>
            <w:r>
              <w:rPr>
                <w:rFonts w:hint="eastAsia" w:ascii="宋体" w:hAnsi="宋体" w:eastAsia="宋体" w:cs="宋体"/>
                <w:kern w:val="0"/>
                <w:sz w:val="21"/>
                <w:szCs w:val="21"/>
                <w:lang w:eastAsia="zh-CN"/>
              </w:rPr>
              <w:t>。</w:t>
            </w:r>
          </w:p>
        </w:tc>
        <w:tc>
          <w:tcPr>
            <w:tcW w:w="483" w:type="dxa"/>
            <w:vAlign w:val="center"/>
          </w:tcPr>
          <w:p w14:paraId="572E1AA9">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10</w:t>
            </w:r>
          </w:p>
        </w:tc>
        <w:tc>
          <w:tcPr>
            <w:tcW w:w="858" w:type="dxa"/>
            <w:vAlign w:val="center"/>
          </w:tcPr>
          <w:p w14:paraId="6EABB1A8">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5F079B5B">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56B478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24B4B9E1">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rPr>
              <w:t>2</w:t>
            </w:r>
          </w:p>
        </w:tc>
        <w:tc>
          <w:tcPr>
            <w:tcW w:w="7218" w:type="dxa"/>
            <w:vAlign w:val="top"/>
          </w:tcPr>
          <w:p w14:paraId="691394DD">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检测数据质量要求</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Hans"/>
              </w:rPr>
              <w:t>检测项目测序</w:t>
            </w:r>
            <w:r>
              <w:rPr>
                <w:rFonts w:hint="eastAsia" w:ascii="宋体" w:hAnsi="宋体" w:eastAsia="宋体" w:cs="宋体"/>
                <w:kern w:val="0"/>
                <w:sz w:val="21"/>
                <w:szCs w:val="21"/>
                <w:lang w:val="en-US" w:eastAsia="zh-CN"/>
              </w:rPr>
              <w:t>）</w:t>
            </w:r>
          </w:p>
          <w:p w14:paraId="12E33652">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kern w:val="0"/>
                <w:sz w:val="21"/>
                <w:szCs w:val="21"/>
                <w:lang w:val="en-US" w:eastAsia="zh-Hans"/>
              </w:rPr>
            </w:pP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lang w:val="en-US" w:eastAsia="zh-Hans"/>
              </w:rPr>
              <w:t>1</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lang w:val="en-US" w:eastAsia="zh-Hans"/>
              </w:rPr>
              <w:t>平均深度不低于300X</w:t>
            </w:r>
            <w:r>
              <w:rPr>
                <w:rFonts w:hint="eastAsia" w:ascii="宋体" w:hAnsi="宋体" w:cs="宋体"/>
                <w:kern w:val="0"/>
                <w:sz w:val="21"/>
                <w:szCs w:val="21"/>
                <w:lang w:val="en-US" w:eastAsia="zh-CN"/>
              </w:rPr>
              <w:t>；</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lang w:val="en-US" w:eastAsia="zh-Hans"/>
              </w:rPr>
              <w:t>Q20≥95%，Q30≥90%；碱基类型分布均匀，无GC分离；覆盖度99.5%以上</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lang w:val="en-US" w:eastAsia="zh-Hans"/>
              </w:rPr>
              <w:t>全面覆盖线粒体及深度内含子区域。</w:t>
            </w:r>
          </w:p>
          <w:p w14:paraId="6456B73E">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val="en-US" w:eastAsia="zh-Hans"/>
              </w:rPr>
              <w:t>提供5份符合上述要求的样本质控数据的证明文件得5分，未提供不得分</w:t>
            </w:r>
            <w:r>
              <w:rPr>
                <w:rFonts w:hint="eastAsia" w:ascii="宋体" w:hAnsi="宋体" w:eastAsia="宋体" w:cs="宋体"/>
                <w:kern w:val="0"/>
                <w:sz w:val="21"/>
                <w:szCs w:val="21"/>
                <w:lang w:val="en-US" w:eastAsia="zh-CN"/>
              </w:rPr>
              <w:t>。</w:t>
            </w:r>
          </w:p>
        </w:tc>
        <w:tc>
          <w:tcPr>
            <w:tcW w:w="483" w:type="dxa"/>
            <w:vAlign w:val="center"/>
          </w:tcPr>
          <w:p w14:paraId="635EA946">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5</w:t>
            </w:r>
          </w:p>
        </w:tc>
        <w:tc>
          <w:tcPr>
            <w:tcW w:w="858" w:type="dxa"/>
            <w:vAlign w:val="center"/>
          </w:tcPr>
          <w:p w14:paraId="2FF3ADB5">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4D32E70B">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3CE89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3E8BFE40">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rPr>
              <w:t>3</w:t>
            </w:r>
          </w:p>
        </w:tc>
        <w:tc>
          <w:tcPr>
            <w:tcW w:w="7218" w:type="dxa"/>
            <w:vAlign w:val="top"/>
          </w:tcPr>
          <w:p w14:paraId="1E68FBB8">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人提供外送项目所涉及的仪器设备清单及相关的注册证书</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提供符合测序标准要求的完整仪器设备清单，设备完整者得6分，不提供者得0分</w:t>
            </w:r>
          </w:p>
        </w:tc>
        <w:tc>
          <w:tcPr>
            <w:tcW w:w="483" w:type="dxa"/>
            <w:vAlign w:val="center"/>
          </w:tcPr>
          <w:p w14:paraId="05B6BD13">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6</w:t>
            </w:r>
          </w:p>
        </w:tc>
        <w:tc>
          <w:tcPr>
            <w:tcW w:w="858" w:type="dxa"/>
            <w:vAlign w:val="center"/>
          </w:tcPr>
          <w:p w14:paraId="2E421504">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13578226">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4D7E42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00A70868">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rPr>
              <w:t>4</w:t>
            </w:r>
          </w:p>
        </w:tc>
        <w:tc>
          <w:tcPr>
            <w:tcW w:w="7218" w:type="dxa"/>
            <w:vAlign w:val="top"/>
          </w:tcPr>
          <w:p w14:paraId="29B8995A">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lang w:eastAsia="zh-CN"/>
              </w:rPr>
              <w:t>响应</w:t>
            </w:r>
            <w:r>
              <w:rPr>
                <w:rFonts w:hint="eastAsia" w:ascii="宋体" w:hAnsi="宋体" w:eastAsia="宋体" w:cs="宋体"/>
                <w:sz w:val="21"/>
                <w:szCs w:val="21"/>
              </w:rPr>
              <w:t>人具备自主开发的遗传病分析流程以及云平台在线分析流程</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提供完整证明资料者得5分，不提供者得0分</w:t>
            </w:r>
          </w:p>
        </w:tc>
        <w:tc>
          <w:tcPr>
            <w:tcW w:w="483" w:type="dxa"/>
            <w:vAlign w:val="center"/>
          </w:tcPr>
          <w:p w14:paraId="0643759A">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5</w:t>
            </w:r>
          </w:p>
        </w:tc>
        <w:tc>
          <w:tcPr>
            <w:tcW w:w="858" w:type="dxa"/>
            <w:vAlign w:val="center"/>
          </w:tcPr>
          <w:p w14:paraId="453A82E7">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2C5CF518">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7843DF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0B76B7C7">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rPr>
              <w:t>5</w:t>
            </w:r>
          </w:p>
        </w:tc>
        <w:tc>
          <w:tcPr>
            <w:tcW w:w="7218" w:type="dxa"/>
            <w:vAlign w:val="top"/>
          </w:tcPr>
          <w:p w14:paraId="4163C1AF">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rPr>
              <w:t>项目检测过程具有完整的室内质控方案，提供检测质量管理制度</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提供完整资料者得4分，不提供者不得分；</w:t>
            </w:r>
          </w:p>
        </w:tc>
        <w:tc>
          <w:tcPr>
            <w:tcW w:w="483" w:type="dxa"/>
            <w:vAlign w:val="center"/>
          </w:tcPr>
          <w:p w14:paraId="5D5AA822">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4</w:t>
            </w:r>
          </w:p>
        </w:tc>
        <w:tc>
          <w:tcPr>
            <w:tcW w:w="858" w:type="dxa"/>
            <w:vAlign w:val="center"/>
          </w:tcPr>
          <w:p w14:paraId="29D5394E">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3BB62AAA">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6DEA62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7F97898D">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rPr>
              <w:t>6</w:t>
            </w:r>
          </w:p>
        </w:tc>
        <w:tc>
          <w:tcPr>
            <w:tcW w:w="7218" w:type="dxa"/>
            <w:vAlign w:val="top"/>
          </w:tcPr>
          <w:p w14:paraId="73C27627">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rPr>
              <w:t>实验室系统要确保样本和人员信息安全，具备公安机关颁布的信息系统安全等级保护的安全备案凭证，并提供信息安全管理制度</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提供完整备案凭证者得5分，不提供者不得分；</w:t>
            </w:r>
          </w:p>
        </w:tc>
        <w:tc>
          <w:tcPr>
            <w:tcW w:w="483" w:type="dxa"/>
            <w:vAlign w:val="center"/>
          </w:tcPr>
          <w:p w14:paraId="3C83DED3">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5</w:t>
            </w:r>
          </w:p>
        </w:tc>
        <w:tc>
          <w:tcPr>
            <w:tcW w:w="858" w:type="dxa"/>
            <w:vAlign w:val="center"/>
          </w:tcPr>
          <w:p w14:paraId="2A6DA56E">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3875F279">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52BBFB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0505BB8D">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rPr>
              <w:t>7</w:t>
            </w:r>
          </w:p>
        </w:tc>
        <w:tc>
          <w:tcPr>
            <w:tcW w:w="7218" w:type="dxa"/>
            <w:vAlign w:val="top"/>
          </w:tcPr>
          <w:p w14:paraId="00873669">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rPr>
              <w:t>具备完善的细胞分子遗传学检测技术平台，提供实验检测流程和相关实验报告</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提供5份基因报告者得5分，4份得3 分，其余不得分；</w:t>
            </w:r>
          </w:p>
        </w:tc>
        <w:tc>
          <w:tcPr>
            <w:tcW w:w="483" w:type="dxa"/>
            <w:vAlign w:val="center"/>
          </w:tcPr>
          <w:p w14:paraId="5F89D91F">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5</w:t>
            </w:r>
          </w:p>
        </w:tc>
        <w:tc>
          <w:tcPr>
            <w:tcW w:w="858" w:type="dxa"/>
            <w:vAlign w:val="center"/>
          </w:tcPr>
          <w:p w14:paraId="22823BF3">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1BA6F0A6">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1FB748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6FB9AFD9">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rPr>
              <w:t>8</w:t>
            </w:r>
          </w:p>
        </w:tc>
        <w:tc>
          <w:tcPr>
            <w:tcW w:w="7218" w:type="dxa"/>
            <w:vAlign w:val="top"/>
          </w:tcPr>
          <w:p w14:paraId="6AB9B419">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人需负责院内临床遗传知识、咨询技术培训。(至少一个季度一次）</w:t>
            </w:r>
            <w:r>
              <w:rPr>
                <w:rFonts w:hint="eastAsia" w:ascii="宋体" w:hAnsi="宋体" w:eastAsia="宋体" w:cs="宋体"/>
                <w:kern w:val="0"/>
                <w:sz w:val="21"/>
                <w:szCs w:val="21"/>
                <w:lang w:eastAsia="zh-CN"/>
              </w:rPr>
              <w:t>。为</w:t>
            </w:r>
            <w:r>
              <w:rPr>
                <w:rFonts w:hint="eastAsia" w:ascii="宋体" w:hAnsi="宋体" w:eastAsia="宋体" w:cs="宋体"/>
                <w:kern w:val="0"/>
                <w:sz w:val="21"/>
                <w:szCs w:val="21"/>
              </w:rPr>
              <w:t>保证项目检测后的服务质量，</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方</w:t>
            </w:r>
            <w:r>
              <w:rPr>
                <w:rFonts w:hint="eastAsia" w:ascii="宋体" w:hAnsi="宋体" w:eastAsia="宋体" w:cs="宋体"/>
                <w:kern w:val="0"/>
                <w:sz w:val="21"/>
                <w:szCs w:val="21"/>
                <w:lang w:eastAsia="zh-CN"/>
              </w:rPr>
              <w:t>须</w:t>
            </w:r>
            <w:r>
              <w:rPr>
                <w:rFonts w:hint="eastAsia" w:ascii="宋体" w:hAnsi="宋体" w:eastAsia="宋体" w:cs="宋体"/>
                <w:kern w:val="0"/>
                <w:sz w:val="21"/>
                <w:szCs w:val="21"/>
              </w:rPr>
              <w:t>具备遗传咨询服务团队，提供线上线下遗传</w:t>
            </w:r>
            <w:r>
              <w:rPr>
                <w:rFonts w:hint="eastAsia" w:ascii="宋体" w:hAnsi="宋体" w:eastAsia="宋体" w:cs="宋体"/>
                <w:kern w:val="0"/>
                <w:sz w:val="21"/>
                <w:szCs w:val="21"/>
                <w:lang w:eastAsia="zh-CN"/>
              </w:rPr>
              <w:t>咨询服务：</w:t>
            </w:r>
            <w:r>
              <w:rPr>
                <w:rFonts w:hint="eastAsia" w:ascii="宋体" w:hAnsi="宋体" w:eastAsia="宋体" w:cs="宋体"/>
                <w:kern w:val="0"/>
                <w:sz w:val="21"/>
                <w:szCs w:val="21"/>
              </w:rPr>
              <w:t>根据</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人提供的遗传咨询团队咨询经验介绍及在线咨询服务流程由评委酌情打分（0-3分）；2.承诺提供免费操作培训的得2分。</w:t>
            </w:r>
          </w:p>
        </w:tc>
        <w:tc>
          <w:tcPr>
            <w:tcW w:w="483" w:type="dxa"/>
            <w:vAlign w:val="center"/>
          </w:tcPr>
          <w:p w14:paraId="7D8C12BA">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5</w:t>
            </w:r>
          </w:p>
        </w:tc>
        <w:tc>
          <w:tcPr>
            <w:tcW w:w="858" w:type="dxa"/>
            <w:vAlign w:val="center"/>
          </w:tcPr>
          <w:p w14:paraId="01753216">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26B0BDCF">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7B3553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78CFC492">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rPr>
              <w:t>9</w:t>
            </w:r>
          </w:p>
        </w:tc>
        <w:tc>
          <w:tcPr>
            <w:tcW w:w="7218" w:type="dxa"/>
            <w:vAlign w:val="top"/>
          </w:tcPr>
          <w:p w14:paraId="1C6FE57A">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人具备完整的外送检验服务方案（相关承诺，包括标本收集、运送方式、发送报告单方式、时间等）</w:t>
            </w:r>
            <w:r>
              <w:rPr>
                <w:rFonts w:hint="eastAsia" w:ascii="宋体" w:hAnsi="宋体" w:eastAsia="宋体" w:cs="宋体"/>
                <w:kern w:val="0"/>
                <w:sz w:val="21"/>
                <w:szCs w:val="21"/>
                <w:lang w:eastAsia="zh-CN"/>
              </w:rPr>
              <w:t>：</w:t>
            </w:r>
          </w:p>
          <w:p w14:paraId="71349D21">
            <w:pPr>
              <w:keepNext w:val="0"/>
              <w:keepLines w:val="0"/>
              <w:pageBreakBefore w:val="0"/>
              <w:widowControl/>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全面分析用户现状、需求情况、实施要求等内容，</w:t>
            </w:r>
            <w:r>
              <w:rPr>
                <w:rFonts w:hint="eastAsia" w:ascii="宋体" w:hAnsi="宋体" w:eastAsia="宋体" w:cs="宋体"/>
                <w:kern w:val="0"/>
                <w:sz w:val="21"/>
                <w:szCs w:val="21"/>
                <w:lang w:eastAsia="zh-CN"/>
              </w:rPr>
              <w:t>对</w:t>
            </w:r>
            <w:r>
              <w:rPr>
                <w:rFonts w:hint="eastAsia" w:ascii="宋体" w:hAnsi="宋体" w:eastAsia="宋体" w:cs="宋体"/>
                <w:kern w:val="0"/>
                <w:sz w:val="21"/>
                <w:szCs w:val="21"/>
              </w:rPr>
              <w:t>本项目任务目</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标及需求理解深刻：10分；</w:t>
            </w:r>
          </w:p>
          <w:p w14:paraId="1A23CF67">
            <w:pPr>
              <w:keepNext w:val="0"/>
              <w:keepLines w:val="0"/>
              <w:pageBreakBefore w:val="0"/>
              <w:widowControl/>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满足</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文件要求，但内容存在1处瑕疵：7分；</w:t>
            </w:r>
          </w:p>
          <w:p w14:paraId="2D31605F">
            <w:pPr>
              <w:keepNext w:val="0"/>
              <w:keepLines w:val="0"/>
              <w:pageBreakBefore w:val="0"/>
              <w:widowControl/>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满足</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文件要求，但内容存在2处瑕疵：4分；</w:t>
            </w:r>
          </w:p>
          <w:p w14:paraId="11421055">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rPr>
              <w:t>未提供方案或不满足</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文件要求或内容存在3处及以上瑕疵：0分。</w:t>
            </w:r>
          </w:p>
        </w:tc>
        <w:tc>
          <w:tcPr>
            <w:tcW w:w="483" w:type="dxa"/>
            <w:vAlign w:val="center"/>
          </w:tcPr>
          <w:p w14:paraId="3DEA940B">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10</w:t>
            </w:r>
          </w:p>
        </w:tc>
        <w:tc>
          <w:tcPr>
            <w:tcW w:w="858" w:type="dxa"/>
            <w:vAlign w:val="center"/>
          </w:tcPr>
          <w:p w14:paraId="589B0A98">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5AB8411A">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699CA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5C334D1A">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default" w:ascii="宋体" w:hAnsi="宋体" w:eastAsia="宋体" w:cs="宋体"/>
                <w:sz w:val="21"/>
                <w:szCs w:val="21"/>
                <w:highlight w:val="none"/>
                <w:lang w:val="en-US"/>
              </w:rPr>
            </w:pPr>
            <w:r>
              <w:rPr>
                <w:rFonts w:hint="eastAsia" w:ascii="宋体" w:hAnsi="宋体" w:cs="宋体"/>
                <w:kern w:val="0"/>
                <w:sz w:val="21"/>
                <w:szCs w:val="21"/>
                <w:lang w:val="en-US" w:eastAsia="zh-CN"/>
              </w:rPr>
              <w:t>10</w:t>
            </w:r>
          </w:p>
        </w:tc>
        <w:tc>
          <w:tcPr>
            <w:tcW w:w="7218" w:type="dxa"/>
            <w:vAlign w:val="top"/>
          </w:tcPr>
          <w:p w14:paraId="66FD5626">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default" w:ascii="宋体" w:hAnsi="宋体" w:eastAsia="宋体" w:cs="宋体"/>
                <w:color w:val="0000FF"/>
                <w:kern w:val="0"/>
                <w:sz w:val="21"/>
                <w:szCs w:val="21"/>
                <w:lang w:val="en-US" w:eastAsia="zh-CN"/>
              </w:rPr>
            </w:pPr>
            <w:r>
              <w:rPr>
                <w:rFonts w:hint="eastAsia" w:ascii="宋体" w:hAnsi="宋体" w:eastAsia="宋体" w:cs="宋体"/>
                <w:color w:val="0000FF"/>
                <w:kern w:val="0"/>
                <w:sz w:val="21"/>
                <w:szCs w:val="21"/>
                <w:lang w:val="en-US" w:eastAsia="zh-CN"/>
              </w:rPr>
              <w:t>室间质评参加及合格情况（需提供佐证资料）</w:t>
            </w:r>
          </w:p>
          <w:p w14:paraId="57AE67A0">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color w:val="0000FF"/>
                <w:kern w:val="0"/>
                <w:sz w:val="21"/>
                <w:szCs w:val="21"/>
                <w:lang w:val="en-US" w:eastAsia="zh-CN"/>
              </w:rPr>
            </w:pPr>
            <w:r>
              <w:rPr>
                <w:rFonts w:hint="eastAsia" w:ascii="宋体" w:hAnsi="宋体" w:eastAsia="宋体" w:cs="宋体"/>
                <w:color w:val="0000FF"/>
                <w:kern w:val="0"/>
                <w:sz w:val="21"/>
                <w:szCs w:val="21"/>
                <w:lang w:val="en-US" w:eastAsia="zh-CN"/>
              </w:rPr>
              <w:t>参加项目全部合格且覆盖本项目主要检验类别的，得3-4分；</w:t>
            </w:r>
          </w:p>
          <w:p w14:paraId="149D2045">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color w:val="0000FF"/>
                <w:kern w:val="0"/>
                <w:sz w:val="21"/>
                <w:szCs w:val="21"/>
                <w:lang w:val="en-US" w:eastAsia="zh-CN"/>
              </w:rPr>
            </w:pPr>
            <w:r>
              <w:rPr>
                <w:rFonts w:hint="eastAsia" w:ascii="宋体" w:hAnsi="宋体" w:eastAsia="宋体" w:cs="宋体"/>
                <w:color w:val="0000FF"/>
                <w:kern w:val="0"/>
                <w:sz w:val="21"/>
                <w:szCs w:val="21"/>
                <w:lang w:val="en-US" w:eastAsia="zh-CN"/>
              </w:rPr>
              <w:t>参加项目大部分合格，基本覆盖本项目需求的，得2分；</w:t>
            </w:r>
          </w:p>
          <w:p w14:paraId="75DB72BE">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color w:val="0000FF"/>
                <w:kern w:val="0"/>
                <w:sz w:val="21"/>
                <w:szCs w:val="21"/>
                <w:lang w:val="en-US" w:eastAsia="zh-CN"/>
              </w:rPr>
            </w:pPr>
            <w:r>
              <w:rPr>
                <w:rFonts w:hint="eastAsia" w:ascii="宋体" w:hAnsi="宋体" w:eastAsia="宋体" w:cs="宋体"/>
                <w:color w:val="0000FF"/>
                <w:kern w:val="0"/>
                <w:sz w:val="21"/>
                <w:szCs w:val="21"/>
                <w:lang w:val="en-US" w:eastAsia="zh-CN"/>
              </w:rPr>
              <w:t>参加项目较少或存在不合格项目的，得1分；</w:t>
            </w:r>
          </w:p>
          <w:p w14:paraId="1CEFBBD6">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color w:val="0000FF"/>
                <w:kern w:val="0"/>
                <w:sz w:val="21"/>
                <w:szCs w:val="21"/>
                <w:lang w:val="en-US" w:eastAsia="zh-CN"/>
              </w:rPr>
              <w:t>未参加或未提供证明的，得0分。</w:t>
            </w:r>
          </w:p>
        </w:tc>
        <w:tc>
          <w:tcPr>
            <w:tcW w:w="483" w:type="dxa"/>
            <w:vAlign w:val="center"/>
          </w:tcPr>
          <w:p w14:paraId="4D0C8A2A">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4</w:t>
            </w:r>
          </w:p>
        </w:tc>
        <w:tc>
          <w:tcPr>
            <w:tcW w:w="858" w:type="dxa"/>
            <w:vAlign w:val="center"/>
          </w:tcPr>
          <w:p w14:paraId="0CCCA90B">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7BB83CD3">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7346F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10F564E4">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default" w:ascii="宋体" w:hAnsi="宋体" w:eastAsia="宋体" w:cs="宋体"/>
                <w:sz w:val="21"/>
                <w:szCs w:val="21"/>
                <w:highlight w:val="none"/>
                <w:lang w:val="en-US"/>
              </w:rPr>
            </w:pPr>
            <w:r>
              <w:rPr>
                <w:rFonts w:hint="eastAsia" w:ascii="宋体" w:hAnsi="宋体" w:cs="宋体"/>
                <w:kern w:val="0"/>
                <w:sz w:val="21"/>
                <w:szCs w:val="21"/>
                <w:lang w:val="en-US" w:eastAsia="zh-CN"/>
              </w:rPr>
              <w:t>11</w:t>
            </w:r>
          </w:p>
        </w:tc>
        <w:tc>
          <w:tcPr>
            <w:tcW w:w="7218" w:type="dxa"/>
            <w:vAlign w:val="top"/>
          </w:tcPr>
          <w:p w14:paraId="0555BBF4">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综合实力</w:t>
            </w:r>
            <w:r>
              <w:rPr>
                <w:rFonts w:hint="eastAsia" w:ascii="宋体" w:hAnsi="宋体" w:eastAsia="宋体" w:cs="宋体"/>
                <w:kern w:val="0"/>
                <w:sz w:val="21"/>
                <w:szCs w:val="21"/>
                <w:lang w:eastAsia="zh-CN"/>
              </w:rPr>
              <w:t>（</w:t>
            </w:r>
            <w:r>
              <w:rPr>
                <w:rFonts w:hint="eastAsia" w:ascii="宋体" w:hAnsi="宋体" w:eastAsia="宋体" w:cs="宋体"/>
                <w:sz w:val="21"/>
                <w:szCs w:val="21"/>
                <w:lang w:val="en-US" w:eastAsia="zh-CN"/>
              </w:rPr>
              <w:t>需提供佐证材料，</w:t>
            </w:r>
            <w:r>
              <w:rPr>
                <w:rFonts w:hint="eastAsia" w:ascii="宋体" w:hAnsi="宋体" w:eastAsia="宋体" w:cs="宋体"/>
                <w:sz w:val="21"/>
                <w:szCs w:val="21"/>
              </w:rPr>
              <w:t>不提供不得分</w:t>
            </w:r>
            <w:r>
              <w:rPr>
                <w:rFonts w:hint="eastAsia" w:ascii="宋体" w:hAnsi="宋体" w:eastAsia="宋体" w:cs="宋体"/>
                <w:sz w:val="21"/>
                <w:szCs w:val="21"/>
                <w:lang w:eastAsia="zh-CN"/>
              </w:rPr>
              <w:t>）</w:t>
            </w:r>
            <w:r>
              <w:rPr>
                <w:rFonts w:hint="eastAsia" w:ascii="宋体" w:hAnsi="宋体" w:eastAsia="宋体" w:cs="宋体"/>
                <w:kern w:val="0"/>
                <w:sz w:val="21"/>
                <w:szCs w:val="21"/>
                <w:lang w:eastAsia="zh-CN"/>
              </w:rPr>
              <w:t>：</w:t>
            </w:r>
          </w:p>
          <w:p w14:paraId="508B3718">
            <w:pPr>
              <w:keepNext w:val="0"/>
              <w:keepLines w:val="0"/>
              <w:pageBreakBefore w:val="0"/>
              <w:widowControl/>
              <w:numPr>
                <w:ilvl w:val="0"/>
                <w:numId w:val="0"/>
              </w:numPr>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实验室通过ISO15189，得3分；</w:t>
            </w:r>
          </w:p>
          <w:p w14:paraId="57BD15A0">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实验室CAP体系认证</w:t>
            </w:r>
            <w:r>
              <w:rPr>
                <w:rFonts w:hint="eastAsia" w:ascii="宋体" w:hAnsi="宋体" w:eastAsia="宋体" w:cs="宋体"/>
                <w:sz w:val="21"/>
                <w:szCs w:val="21"/>
              </w:rPr>
              <w:t>，得3分；</w:t>
            </w:r>
          </w:p>
        </w:tc>
        <w:tc>
          <w:tcPr>
            <w:tcW w:w="483" w:type="dxa"/>
            <w:vAlign w:val="center"/>
          </w:tcPr>
          <w:p w14:paraId="5C96FFE6">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lang w:val="en-US" w:eastAsia="zh-CN"/>
              </w:rPr>
              <w:t>6</w:t>
            </w:r>
          </w:p>
        </w:tc>
        <w:tc>
          <w:tcPr>
            <w:tcW w:w="858" w:type="dxa"/>
            <w:vAlign w:val="center"/>
          </w:tcPr>
          <w:p w14:paraId="7B9591FC">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50B363B3">
            <w:pPr>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38B8A5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23D01B71">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default" w:ascii="宋体" w:hAnsi="宋体" w:eastAsia="宋体" w:cs="宋体"/>
                <w:sz w:val="21"/>
                <w:szCs w:val="21"/>
                <w:highlight w:val="none"/>
                <w:lang w:val="en-US"/>
              </w:rPr>
            </w:pPr>
            <w:r>
              <w:rPr>
                <w:rFonts w:hint="eastAsia" w:ascii="宋体" w:hAnsi="宋体" w:cs="宋体"/>
                <w:sz w:val="21"/>
                <w:szCs w:val="21"/>
                <w:lang w:val="en-US" w:eastAsia="zh-CN"/>
              </w:rPr>
              <w:t>12</w:t>
            </w:r>
          </w:p>
        </w:tc>
        <w:tc>
          <w:tcPr>
            <w:tcW w:w="7218" w:type="dxa"/>
            <w:vAlign w:val="top"/>
          </w:tcPr>
          <w:p w14:paraId="7009C9D4">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科研及研发能力</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0-10分</w:t>
            </w:r>
            <w:r>
              <w:rPr>
                <w:rFonts w:hint="eastAsia" w:ascii="宋体" w:hAnsi="宋体" w:eastAsia="宋体" w:cs="宋体"/>
                <w:kern w:val="0"/>
                <w:sz w:val="21"/>
                <w:szCs w:val="21"/>
                <w:lang w:eastAsia="zh-CN"/>
              </w:rPr>
              <w:t>）：</w:t>
            </w:r>
          </w:p>
          <w:p w14:paraId="3841F463">
            <w:pPr>
              <w:keepNext w:val="0"/>
              <w:keepLines w:val="0"/>
              <w:pageBreakBefore w:val="0"/>
              <w:numPr>
                <w:ilvl w:val="0"/>
                <w:numId w:val="0"/>
              </w:numPr>
              <w:kinsoku/>
              <w:wordWrap/>
              <w:overflowPunct/>
              <w:topLinePunct w:val="0"/>
              <w:autoSpaceDE/>
              <w:autoSpaceDN/>
              <w:bidi w:val="0"/>
              <w:adjustRightInd w:val="0"/>
              <w:snapToGrid w:val="0"/>
              <w:spacing w:line="260" w:lineRule="exac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承担过国家项目课题，每提供一份得1分，最高5分，不提供不得分</w:t>
            </w:r>
          </w:p>
          <w:p w14:paraId="7578EF31">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lang w:val="en-US" w:eastAsia="zh-CN"/>
              </w:rPr>
              <w:t>（2）</w:t>
            </w:r>
            <w:r>
              <w:rPr>
                <w:rFonts w:hint="eastAsia" w:ascii="宋体" w:hAnsi="宋体" w:eastAsia="宋体" w:cs="宋体"/>
                <w:sz w:val="21"/>
                <w:szCs w:val="21"/>
              </w:rPr>
              <w:t>具备高通量捕获测序相关的发明专利</w:t>
            </w:r>
            <w:r>
              <w:rPr>
                <w:rStyle w:val="12"/>
                <w:rFonts w:hint="eastAsia" w:ascii="宋体" w:hAnsi="宋体" w:eastAsia="宋体" w:cs="宋体"/>
                <w:sz w:val="21"/>
                <w:szCs w:val="21"/>
              </w:rPr>
              <w:t>，</w:t>
            </w:r>
            <w:r>
              <w:rPr>
                <w:rFonts w:hint="eastAsia" w:ascii="宋体" w:hAnsi="宋体" w:eastAsia="宋体" w:cs="宋体"/>
                <w:sz w:val="21"/>
                <w:szCs w:val="21"/>
              </w:rPr>
              <w:t>提供完整证明者得5分，不提供者不得分</w:t>
            </w:r>
          </w:p>
        </w:tc>
        <w:tc>
          <w:tcPr>
            <w:tcW w:w="483" w:type="dxa"/>
            <w:vAlign w:val="center"/>
          </w:tcPr>
          <w:p w14:paraId="12FE9617">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lang w:val="en-US" w:eastAsia="zh-CN"/>
              </w:rPr>
              <w:t>10</w:t>
            </w:r>
          </w:p>
        </w:tc>
        <w:tc>
          <w:tcPr>
            <w:tcW w:w="858" w:type="dxa"/>
            <w:vAlign w:val="center"/>
          </w:tcPr>
          <w:p w14:paraId="3BA97D06">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4AE29AC5">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6634FE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trHeight w:val="90" w:hRule="atLeast"/>
          <w:jc w:val="center"/>
        </w:trPr>
        <w:tc>
          <w:tcPr>
            <w:tcW w:w="579" w:type="dxa"/>
            <w:vAlign w:val="center"/>
          </w:tcPr>
          <w:p w14:paraId="10D72429">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13</w:t>
            </w:r>
          </w:p>
        </w:tc>
        <w:tc>
          <w:tcPr>
            <w:tcW w:w="7218" w:type="dxa"/>
            <w:shd w:val="clear" w:color="auto" w:fill="auto"/>
            <w:vAlign w:val="top"/>
          </w:tcPr>
          <w:p w14:paraId="0F06BF12">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人提供近三年（以合同签订之日为准）与医院合作的类似业绩合作清单及合同复印件</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每提供一个与全国范围内三甲医院合作的业绩得0.5分，最多不超过5分。（附相关合同的复印件和用户联系方式）</w:t>
            </w:r>
          </w:p>
        </w:tc>
        <w:tc>
          <w:tcPr>
            <w:tcW w:w="483" w:type="dxa"/>
            <w:shd w:val="clear" w:color="auto" w:fill="auto"/>
            <w:vAlign w:val="center"/>
          </w:tcPr>
          <w:p w14:paraId="693651A7">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5</w:t>
            </w:r>
          </w:p>
        </w:tc>
        <w:tc>
          <w:tcPr>
            <w:tcW w:w="858" w:type="dxa"/>
            <w:vAlign w:val="center"/>
          </w:tcPr>
          <w:p w14:paraId="3E72F2FC">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166561EF">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050F08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579" w:type="dxa"/>
            <w:vAlign w:val="center"/>
          </w:tcPr>
          <w:p w14:paraId="3E8597C7">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14</w:t>
            </w:r>
          </w:p>
        </w:tc>
        <w:tc>
          <w:tcPr>
            <w:tcW w:w="7218" w:type="dxa"/>
            <w:shd w:val="clear" w:color="auto" w:fill="auto"/>
            <w:vAlign w:val="top"/>
          </w:tcPr>
          <w:p w14:paraId="43587833">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报价得分=（基准价/</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报价）×20</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由现场工作人员计算）</w:t>
            </w:r>
          </w:p>
          <w:p w14:paraId="5C9E09E5">
            <w:pPr>
              <w:pStyle w:val="18"/>
              <w:keepNext w:val="0"/>
              <w:keepLines w:val="0"/>
              <w:pageBreakBefore w:val="0"/>
              <w:kinsoku/>
              <w:wordWrap/>
              <w:overflowPunct/>
              <w:topLinePunct w:val="0"/>
              <w:autoSpaceDE/>
              <w:autoSpaceDN/>
              <w:bidi w:val="0"/>
              <w:adjustRightInd w:val="0"/>
              <w:snapToGrid w:val="0"/>
              <w:spacing w:line="260" w:lineRule="exact"/>
              <w:jc w:val="left"/>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rPr>
              <w:t>基准价：满足</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文件要求</w:t>
            </w:r>
            <w:r>
              <w:rPr>
                <w:rFonts w:hint="eastAsia" w:ascii="宋体" w:hAnsi="宋体" w:eastAsia="宋体" w:cs="宋体"/>
                <w:kern w:val="0"/>
                <w:sz w:val="21"/>
                <w:szCs w:val="21"/>
                <w:lang w:eastAsia="zh-CN"/>
              </w:rPr>
              <w:t>且按照</w:t>
            </w:r>
            <w:r>
              <w:rPr>
                <w:rFonts w:hint="eastAsia" w:ascii="宋体" w:hAnsi="宋体" w:eastAsia="宋体" w:cs="宋体"/>
                <w:kern w:val="0"/>
                <w:sz w:val="21"/>
                <w:szCs w:val="21"/>
              </w:rPr>
              <w:t>物价部门收费标准百分比报价，给予医院优惠率最高的</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报价为评标基准价，即数值最小的</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优惠率</w:t>
            </w:r>
            <w:r>
              <w:rPr>
                <w:rFonts w:hint="eastAsia" w:ascii="宋体" w:hAnsi="宋体" w:eastAsia="宋体" w:cs="宋体"/>
                <w:kern w:val="0"/>
                <w:sz w:val="21"/>
                <w:szCs w:val="21"/>
                <w:lang w:eastAsia="zh-CN"/>
              </w:rPr>
              <w:t>）</w:t>
            </w:r>
          </w:p>
        </w:tc>
        <w:tc>
          <w:tcPr>
            <w:tcW w:w="483" w:type="dxa"/>
            <w:shd w:val="clear" w:color="auto" w:fill="auto"/>
            <w:vAlign w:val="center"/>
          </w:tcPr>
          <w:p w14:paraId="4E42479A">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20</w:t>
            </w:r>
          </w:p>
        </w:tc>
        <w:tc>
          <w:tcPr>
            <w:tcW w:w="858" w:type="dxa"/>
            <w:vAlign w:val="center"/>
          </w:tcPr>
          <w:p w14:paraId="39754FC3">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7BFF50AB">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r w14:paraId="2BBF15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7797" w:type="dxa"/>
            <w:gridSpan w:val="2"/>
            <w:vAlign w:val="center"/>
          </w:tcPr>
          <w:p w14:paraId="6BEEBE80">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合计</w:t>
            </w:r>
          </w:p>
        </w:tc>
        <w:tc>
          <w:tcPr>
            <w:tcW w:w="483" w:type="dxa"/>
            <w:shd w:val="clear" w:color="auto" w:fill="auto"/>
            <w:vAlign w:val="center"/>
          </w:tcPr>
          <w:p w14:paraId="7B6DB730">
            <w:pPr>
              <w:pStyle w:val="18"/>
              <w:keepNext w:val="0"/>
              <w:keepLines w:val="0"/>
              <w:pageBreakBefore w:val="0"/>
              <w:kinsoku/>
              <w:wordWrap/>
              <w:overflowPunct/>
              <w:topLinePunct w:val="0"/>
              <w:autoSpaceDE/>
              <w:autoSpaceDN/>
              <w:bidi w:val="0"/>
              <w:adjustRightInd w:val="0"/>
              <w:snapToGrid w:val="0"/>
              <w:spacing w:line="26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100</w:t>
            </w:r>
          </w:p>
        </w:tc>
        <w:tc>
          <w:tcPr>
            <w:tcW w:w="858" w:type="dxa"/>
            <w:vAlign w:val="center"/>
          </w:tcPr>
          <w:p w14:paraId="19AEE863">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c>
          <w:tcPr>
            <w:tcW w:w="1333" w:type="dxa"/>
            <w:vAlign w:val="center"/>
          </w:tcPr>
          <w:p w14:paraId="0828D8BF">
            <w:pPr>
              <w:pStyle w:val="18"/>
              <w:keepNext w:val="0"/>
              <w:keepLines w:val="0"/>
              <w:pageBreakBefore w:val="0"/>
              <w:kinsoku/>
              <w:wordWrap/>
              <w:overflowPunct/>
              <w:topLinePunct w:val="0"/>
              <w:autoSpaceDE/>
              <w:autoSpaceDN/>
              <w:bidi w:val="0"/>
              <w:adjustRightInd w:val="0"/>
              <w:snapToGrid w:val="0"/>
              <w:spacing w:line="260" w:lineRule="exact"/>
              <w:textAlignment w:val="auto"/>
              <w:rPr>
                <w:rFonts w:hint="eastAsia" w:ascii="宋体" w:hAnsi="宋体" w:eastAsia="宋体" w:cs="宋体"/>
                <w:sz w:val="21"/>
                <w:szCs w:val="21"/>
                <w:highlight w:val="none"/>
              </w:rPr>
            </w:pPr>
          </w:p>
        </w:tc>
      </w:tr>
    </w:tbl>
    <w:p w14:paraId="25F6C03F">
      <w:pPr>
        <w:tabs>
          <w:tab w:val="left" w:pos="709"/>
        </w:tabs>
        <w:adjustRightInd w:val="0"/>
        <w:snapToGrid w:val="0"/>
        <w:spacing w:line="20" w:lineRule="exact"/>
        <w:jc w:val="left"/>
      </w:pPr>
    </w:p>
    <w:p w14:paraId="7C881CA1">
      <w:pPr>
        <w:tabs>
          <w:tab w:val="left" w:pos="709"/>
        </w:tabs>
        <w:adjustRightInd w:val="0"/>
        <w:snapToGrid w:val="0"/>
        <w:spacing w:line="20" w:lineRule="exact"/>
        <w:jc w:val="left"/>
      </w:pPr>
    </w:p>
    <w:p w14:paraId="6E9A574D">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06180BC9-ECCA-40BD-9949-FE4E178439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6"/>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A223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492775"/>
    <w:rsid w:val="129E6898"/>
    <w:rsid w:val="133D4D41"/>
    <w:rsid w:val="136646D4"/>
    <w:rsid w:val="13EC5F71"/>
    <w:rsid w:val="13F27D2F"/>
    <w:rsid w:val="148B0641"/>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0F00286"/>
    <w:rsid w:val="2154483D"/>
    <w:rsid w:val="21963960"/>
    <w:rsid w:val="222D4521"/>
    <w:rsid w:val="231A0926"/>
    <w:rsid w:val="239D1036"/>
    <w:rsid w:val="2496235F"/>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A86FE3"/>
    <w:rsid w:val="3DEF482D"/>
    <w:rsid w:val="4017160C"/>
    <w:rsid w:val="41300182"/>
    <w:rsid w:val="415F13B8"/>
    <w:rsid w:val="42557F64"/>
    <w:rsid w:val="44B7644A"/>
    <w:rsid w:val="44C60C63"/>
    <w:rsid w:val="44ED1B2D"/>
    <w:rsid w:val="46025417"/>
    <w:rsid w:val="46A11FED"/>
    <w:rsid w:val="483F7F95"/>
    <w:rsid w:val="484F022F"/>
    <w:rsid w:val="491A4480"/>
    <w:rsid w:val="49380563"/>
    <w:rsid w:val="4C7A2888"/>
    <w:rsid w:val="4CC151FB"/>
    <w:rsid w:val="4CDF25AC"/>
    <w:rsid w:val="4D9D6E4B"/>
    <w:rsid w:val="4E2C224E"/>
    <w:rsid w:val="51656219"/>
    <w:rsid w:val="52CF79E9"/>
    <w:rsid w:val="532219F2"/>
    <w:rsid w:val="532D3606"/>
    <w:rsid w:val="54AF439E"/>
    <w:rsid w:val="55AE1D7D"/>
    <w:rsid w:val="56937118"/>
    <w:rsid w:val="56E2471A"/>
    <w:rsid w:val="57204800"/>
    <w:rsid w:val="57503424"/>
    <w:rsid w:val="595344CA"/>
    <w:rsid w:val="597466A4"/>
    <w:rsid w:val="5B237E93"/>
    <w:rsid w:val="5C2B06C5"/>
    <w:rsid w:val="5D1A5742"/>
    <w:rsid w:val="5E12778B"/>
    <w:rsid w:val="5E1C33F4"/>
    <w:rsid w:val="5E3B7AF9"/>
    <w:rsid w:val="5EAD4EE1"/>
    <w:rsid w:val="5F457C64"/>
    <w:rsid w:val="5FE22D60"/>
    <w:rsid w:val="60017D91"/>
    <w:rsid w:val="606964BC"/>
    <w:rsid w:val="60CC2CDD"/>
    <w:rsid w:val="614E730A"/>
    <w:rsid w:val="636D582F"/>
    <w:rsid w:val="6395523F"/>
    <w:rsid w:val="63E818F6"/>
    <w:rsid w:val="646060BC"/>
    <w:rsid w:val="64617060"/>
    <w:rsid w:val="64A010A4"/>
    <w:rsid w:val="64C115D9"/>
    <w:rsid w:val="65A6536B"/>
    <w:rsid w:val="65D12A9B"/>
    <w:rsid w:val="65D16E38"/>
    <w:rsid w:val="661F281A"/>
    <w:rsid w:val="665477F1"/>
    <w:rsid w:val="66C22023"/>
    <w:rsid w:val="66E42BA0"/>
    <w:rsid w:val="6712692A"/>
    <w:rsid w:val="67361858"/>
    <w:rsid w:val="67953680"/>
    <w:rsid w:val="67ED1B11"/>
    <w:rsid w:val="685933BE"/>
    <w:rsid w:val="69783B7C"/>
    <w:rsid w:val="69AA1A66"/>
    <w:rsid w:val="69E63E4A"/>
    <w:rsid w:val="6AB06D96"/>
    <w:rsid w:val="6AD12B4E"/>
    <w:rsid w:val="6B560E7C"/>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lock Text"/>
    <w:basedOn w:val="1"/>
    <w:next w:val="1"/>
    <w:unhideWhenUsed/>
    <w:qFormat/>
    <w:uiPriority w:val="99"/>
    <w:pPr>
      <w:spacing w:after="120"/>
      <w:ind w:left="1440" w:leftChars="700" w:right="1440" w:rightChars="700"/>
    </w:pPr>
  </w:style>
  <w:style w:type="paragraph" w:styleId="3">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4">
    <w:name w:val="Plain Text"/>
    <w:basedOn w:val="1"/>
    <w:link w:val="17"/>
    <w:unhideWhenUsed/>
    <w:qFormat/>
    <w:uiPriority w:val="0"/>
    <w:rPr>
      <w:rFonts w:ascii="宋体" w:hAnsi="Courier New" w:cstheme="minorBidi"/>
      <w:szCs w:val="22"/>
    </w:rPr>
  </w:style>
  <w:style w:type="paragraph" w:styleId="5">
    <w:name w:val="footer"/>
    <w:basedOn w:val="1"/>
    <w:link w:val="1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semiHidden/>
    <w:unhideWhenUsed/>
    <w:qFormat/>
    <w:uiPriority w:val="99"/>
    <w:rPr>
      <w:sz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annotation reference"/>
    <w:unhideWhenUsed/>
    <w:qFormat/>
    <w:uiPriority w:val="99"/>
    <w:rPr>
      <w:sz w:val="21"/>
      <w:szCs w:val="21"/>
    </w:rPr>
  </w:style>
  <w:style w:type="character" w:customStyle="1" w:styleId="13">
    <w:name w:val="页眉 Char"/>
    <w:basedOn w:val="10"/>
    <w:link w:val="6"/>
    <w:qFormat/>
    <w:uiPriority w:val="99"/>
    <w:rPr>
      <w:sz w:val="18"/>
      <w:szCs w:val="18"/>
    </w:rPr>
  </w:style>
  <w:style w:type="character" w:customStyle="1" w:styleId="14">
    <w:name w:val="页脚 Char"/>
    <w:basedOn w:val="10"/>
    <w:link w:val="5"/>
    <w:qFormat/>
    <w:uiPriority w:val="99"/>
    <w:rPr>
      <w:sz w:val="18"/>
      <w:szCs w:val="18"/>
    </w:rPr>
  </w:style>
  <w:style w:type="paragraph" w:styleId="15">
    <w:name w:val="List Paragraph"/>
    <w:basedOn w:val="1"/>
    <w:qFormat/>
    <w:uiPriority w:val="34"/>
    <w:pPr>
      <w:ind w:firstLine="420" w:firstLineChars="200"/>
    </w:pPr>
  </w:style>
  <w:style w:type="character" w:customStyle="1" w:styleId="16">
    <w:name w:val="纯文本 Char"/>
    <w:basedOn w:val="10"/>
    <w:qFormat/>
    <w:locked/>
    <w:uiPriority w:val="0"/>
    <w:rPr>
      <w:rFonts w:ascii="宋体" w:hAnsi="Courier New" w:eastAsia="宋体"/>
    </w:rPr>
  </w:style>
  <w:style w:type="character" w:customStyle="1" w:styleId="17">
    <w:name w:val="纯文本 Char1"/>
    <w:basedOn w:val="10"/>
    <w:link w:val="4"/>
    <w:semiHidden/>
    <w:qFormat/>
    <w:uiPriority w:val="99"/>
    <w:rPr>
      <w:rFonts w:ascii="宋体" w:hAnsi="Courier New" w:eastAsia="宋体" w:cs="Courier New"/>
      <w:szCs w:val="21"/>
    </w:rPr>
  </w:style>
  <w:style w:type="paragraph" w:customStyle="1" w:styleId="18">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1261</Words>
  <Characters>1322</Characters>
  <Lines>9</Lines>
  <Paragraphs>2</Paragraphs>
  <TotalTime>1</TotalTime>
  <ScaleCrop>false</ScaleCrop>
  <LinksUpToDate>false</LinksUpToDate>
  <CharactersWithSpaces>1323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伍卓坚</cp:lastModifiedBy>
  <cp:lastPrinted>2025-12-04T09:07:00Z</cp:lastPrinted>
  <dcterms:modified xsi:type="dcterms:W3CDTF">2026-09-29T14:46:56Z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eyJoZGlkIjoiYTUxMDM2ZmRjMmE2ZWY4NmMzMzJiYTVkYzk3ZjQ2MjciLCJ1c2VySWQiOiIyMjY0NjUzODUifQ==</vt:lpwstr>
  </property>
  <property fmtid="{D5CDD505-2E9C-101B-9397-08002B2CF9AE}" pid="4" name="ICV">
    <vt:lpwstr>A3BA0A4013F74C318EF2A84BBFA89125_13</vt:lpwstr>
  </property>
</Properties>
</file>