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691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  <w:lang w:val="en-US" w:eastAsia="zh-CN"/>
        </w:rPr>
        <w:t>全院标识文化一体化项目（设计）（JJ20260173）</w:t>
      </w:r>
    </w:p>
    <w:tbl>
      <w:tblPr>
        <w:tblStyle w:val="7"/>
        <w:tblW w:w="106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1107"/>
        <w:gridCol w:w="7050"/>
        <w:gridCol w:w="805"/>
        <w:gridCol w:w="709"/>
        <w:gridCol w:w="986"/>
      </w:tblGrid>
      <w:tr w14:paraId="7BA24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atLeast"/>
          <w:tblHeader/>
          <w:jc w:val="center"/>
        </w:trPr>
        <w:tc>
          <w:tcPr>
            <w:tcW w:w="1107" w:type="dxa"/>
            <w:shd w:val="clear" w:color="auto" w:fill="D5E8F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958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评审项</w:t>
            </w:r>
          </w:p>
        </w:tc>
        <w:tc>
          <w:tcPr>
            <w:tcW w:w="7050" w:type="dxa"/>
            <w:shd w:val="clear" w:color="auto" w:fill="D5E8F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B1B7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评分要点</w:t>
            </w:r>
          </w:p>
        </w:tc>
        <w:tc>
          <w:tcPr>
            <w:tcW w:w="805" w:type="dxa"/>
            <w:shd w:val="clear" w:color="auto" w:fill="D5E8F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4BA3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分值</w:t>
            </w:r>
          </w:p>
        </w:tc>
        <w:tc>
          <w:tcPr>
            <w:tcW w:w="709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9AB7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自评分</w:t>
            </w:r>
          </w:p>
        </w:tc>
        <w:tc>
          <w:tcPr>
            <w:tcW w:w="986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B620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佐证材料对应页码</w:t>
            </w:r>
          </w:p>
        </w:tc>
      </w:tr>
      <w:tr w14:paraId="4A79A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atLeast"/>
          <w:jc w:val="center"/>
        </w:trPr>
        <w:tc>
          <w:tcPr>
            <w:tcW w:w="1107" w:type="dxa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3A8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一、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设计理念与创意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25分）</w:t>
            </w:r>
          </w:p>
        </w:tc>
        <w:tc>
          <w:tcPr>
            <w:tcW w:w="705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96C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①主题契合度（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分）：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紧扣“生育友好、儿童友好”核心理念，主题鲜明突出（优：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6-7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分，全案贯穿一致；良：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4-5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分，较切合但局部弱化；差：0-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分，偏离或模糊）；</w:t>
            </w:r>
          </w:p>
        </w:tc>
        <w:tc>
          <w:tcPr>
            <w:tcW w:w="8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BB6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70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DC6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98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03D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4A56F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atLeast"/>
          <w:jc w:val="center"/>
        </w:trPr>
        <w:tc>
          <w:tcPr>
            <w:tcW w:w="1107" w:type="dxa"/>
            <w:vMerge w:val="continue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E3DF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705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0CB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②儿童友好理念表达（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分）：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色彩、图形、尺度、互动性等系统体现儿童友好特征（优：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3-4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分；良：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分，部分体现不系统；差：0-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分）；</w:t>
            </w:r>
          </w:p>
        </w:tc>
        <w:tc>
          <w:tcPr>
            <w:tcW w:w="8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970B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70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2ED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98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78AC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4B4D2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atLeast"/>
          <w:jc w:val="center"/>
        </w:trPr>
        <w:tc>
          <w:tcPr>
            <w:tcW w:w="1107" w:type="dxa"/>
            <w:vMerge w:val="continue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068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705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436A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③文化元素融入（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分）：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两个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友好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”主题、医院文化、地域特色自然融合、辨识度高（优：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3-4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分；良：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分，部分体现不系统；差：0-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分）；</w:t>
            </w:r>
          </w:p>
        </w:tc>
        <w:tc>
          <w:tcPr>
            <w:tcW w:w="8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8A4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70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758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98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8E41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1C75B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atLeast"/>
          <w:jc w:val="center"/>
        </w:trPr>
        <w:tc>
          <w:tcPr>
            <w:tcW w:w="1107" w:type="dxa"/>
            <w:vMerge w:val="continue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2BFC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705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2B1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④统一规划布局（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分）：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全院新老建筑风格统筹，统一VI、色彩、材质及标识语言，预留扩展接口，分期实施科学。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优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6-7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分，良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4-5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分，差0-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分。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eastAsia="zh-CN"/>
              </w:rPr>
              <w:t>）；</w:t>
            </w:r>
          </w:p>
        </w:tc>
        <w:tc>
          <w:tcPr>
            <w:tcW w:w="8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E825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70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E19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98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6EB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3A452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atLeast"/>
          <w:jc w:val="center"/>
        </w:trPr>
        <w:tc>
          <w:tcPr>
            <w:tcW w:w="1107" w:type="dxa"/>
            <w:vMerge w:val="continue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EBCC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705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2E1C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⑤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初步设计概念图提交（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分）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与设计说明高度一致、表达清晰得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分，基本完整得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分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有明显缺项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得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1分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未提交或严重缺项得0分。</w:t>
            </w:r>
          </w:p>
        </w:tc>
        <w:tc>
          <w:tcPr>
            <w:tcW w:w="8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F862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70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696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98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54D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2E4E7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atLeast"/>
          <w:jc w:val="center"/>
        </w:trPr>
        <w:tc>
          <w:tcPr>
            <w:tcW w:w="1107" w:type="dxa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6694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二、标识导向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布局与动线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15分）</w:t>
            </w:r>
          </w:p>
        </w:tc>
        <w:tc>
          <w:tcPr>
            <w:tcW w:w="705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1BD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①就医动线科学（5分）：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人流、物流组织合理，避免交叉拥堵（优：4-5分；良：2-3分，局部交叉；差：0-1分）；</w:t>
            </w:r>
          </w:p>
        </w:tc>
        <w:tc>
          <w:tcPr>
            <w:tcW w:w="8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A5CF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70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F7B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8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E8F7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</w:tr>
      <w:tr w14:paraId="547F0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atLeast"/>
          <w:jc w:val="center"/>
        </w:trPr>
        <w:tc>
          <w:tcPr>
            <w:tcW w:w="1107" w:type="dxa"/>
            <w:vMerge w:val="continue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EB91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705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8B4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②分区合理（5分）：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功能分区明确，标识指引点位设计定位准确（优：4-5分；良：2-3分，个别衔接欠佳；差：0-1分）；</w:t>
            </w:r>
          </w:p>
        </w:tc>
        <w:tc>
          <w:tcPr>
            <w:tcW w:w="8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0DD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70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904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8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D764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</w:tr>
      <w:tr w14:paraId="5BBC6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atLeast"/>
          <w:jc w:val="center"/>
        </w:trPr>
        <w:tc>
          <w:tcPr>
            <w:tcW w:w="1107" w:type="dxa"/>
            <w:vMerge w:val="continue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E457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705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0B49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③导视清晰（5分）：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标识系统层级分明，兼顾儿童与成人双重导视（优：4-5分；良：2-3分，部分不清晰；差：0-1分）。</w:t>
            </w:r>
          </w:p>
        </w:tc>
        <w:tc>
          <w:tcPr>
            <w:tcW w:w="8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A93B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70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925D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8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6B01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</w:tr>
      <w:tr w14:paraId="5AB44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atLeast"/>
          <w:jc w:val="center"/>
        </w:trPr>
        <w:tc>
          <w:tcPr>
            <w:tcW w:w="1107" w:type="dxa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7273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三、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限额设计与成本控制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10分）</w:t>
            </w:r>
          </w:p>
        </w:tc>
        <w:tc>
          <w:tcPr>
            <w:tcW w:w="705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3E8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①单方造价可控（5分）：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设计成果满足限额设计要求，造价测算合理、无超概风险（优：4-5分；良：2-3分，局部超限风险；差：0-1分）；</w:t>
            </w:r>
          </w:p>
        </w:tc>
        <w:tc>
          <w:tcPr>
            <w:tcW w:w="8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FE6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70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C60C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8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BBFD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</w:tr>
      <w:tr w14:paraId="304F7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atLeast"/>
          <w:jc w:val="center"/>
        </w:trPr>
        <w:tc>
          <w:tcPr>
            <w:tcW w:w="1107" w:type="dxa"/>
            <w:vMerge w:val="continue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8A5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705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55B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②材料选型经济合理（5分）：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材质选用兼顾效果与成本，性价比高（优：4-5分；良：2-3分，个别偏高；差：0-1分）。</w:t>
            </w:r>
          </w:p>
        </w:tc>
        <w:tc>
          <w:tcPr>
            <w:tcW w:w="8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04A8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70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EFF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8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928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</w:tr>
      <w:tr w14:paraId="406A0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atLeast"/>
          <w:jc w:val="center"/>
        </w:trPr>
        <w:tc>
          <w:tcPr>
            <w:tcW w:w="110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888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四、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材料选型与环保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10分）</w:t>
            </w:r>
          </w:p>
        </w:tc>
        <w:tc>
          <w:tcPr>
            <w:tcW w:w="705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439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本项仅对设计方案中材料选型的思路、原则、策略进行评比，不对具体材料品牌或产品本身是否环保进行评审。</w:t>
            </w:r>
          </w:p>
          <w:p w14:paraId="48D5F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①选型思路与原则（5分）：紧密结合医院高频使用场景，明确绿色环保、无毒可回收等原则，论证充分（优：4-5分；良：2-3分；差：0-1分）；</w:t>
            </w:r>
          </w:p>
          <w:p w14:paraId="6AA0B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②选型策略与落地性（5分）：系统提出选型策略，兼顾耐用易维护、绿色环保与成本，落地性强（优：4-5分；良：2-3分；差：0-1分）。</w:t>
            </w:r>
          </w:p>
        </w:tc>
        <w:tc>
          <w:tcPr>
            <w:tcW w:w="8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EA77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70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024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8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1C0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</w:tr>
      <w:tr w14:paraId="16FD9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atLeast"/>
          <w:jc w:val="center"/>
        </w:trPr>
        <w:tc>
          <w:tcPr>
            <w:tcW w:w="1107" w:type="dxa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D221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五、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进度计划与服务方案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5分）</w:t>
            </w:r>
          </w:p>
        </w:tc>
        <w:tc>
          <w:tcPr>
            <w:tcW w:w="705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B18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①驻场配合方案（3分）：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驻场人员安排、响应机制明确可行，保障设计与施工衔接（优：3分；良：2分；差：0-1分）；</w:t>
            </w:r>
          </w:p>
        </w:tc>
        <w:tc>
          <w:tcPr>
            <w:tcW w:w="8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15C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70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8F29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8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F4F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</w:tr>
      <w:tr w14:paraId="45773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atLeast"/>
          <w:jc w:val="center"/>
        </w:trPr>
        <w:tc>
          <w:tcPr>
            <w:tcW w:w="1107" w:type="dxa"/>
            <w:vMerge w:val="continue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4FC3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705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8070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②后期服务承诺（2分）：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竣工验收、结算配合、质保期等保障措施完善、承诺具体（优：2分；良：1分；差：0分）。</w:t>
            </w:r>
          </w:p>
        </w:tc>
        <w:tc>
          <w:tcPr>
            <w:tcW w:w="8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669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70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6FDA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8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F52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</w:tr>
      <w:tr w14:paraId="33D7C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761" w:hRule="atLeast"/>
          <w:jc w:val="center"/>
        </w:trPr>
        <w:tc>
          <w:tcPr>
            <w:tcW w:w="1107" w:type="dxa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CB5C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六、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项目团队配置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10分）</w:t>
            </w:r>
          </w:p>
        </w:tc>
        <w:tc>
          <w:tcPr>
            <w:tcW w:w="705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BBA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① 团队岗位配置与专业完整性（5分）</w:t>
            </w:r>
          </w:p>
          <w:p w14:paraId="25EE7B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优（4—5分）：主创设计师、深化设计师、效果图设计师及设计配合人员等核心岗位配置齐全，覆盖方案设计、深化设计、效果图表现及施工配合等全过程，专业结构合理，无明显缺项。投标人须承诺所展示团队为本项目实施团队，不得出现展示团队与履约团队不一致；业绩证明材料须为主创人员或团队业绩（非公司业绩），确保业绩真实、主创人员在岗可查。</w:t>
            </w:r>
          </w:p>
          <w:p w14:paraId="70365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良（2—3分）：主要设计岗位基本齐全，个别岗位由其他人员兼任，整体能够满足项目基本实施需要；投标人须承诺所展示团队部分人员为本项目实施团队；已提供主创人员个人或团队业绩（非公司业绩），但佐证材料不够完整，或团队一致性承诺不够明确。</w:t>
            </w:r>
          </w:p>
          <w:p w14:paraId="1FA5CA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差（0—2分）：主要岗位缺位，或人员配置与项目需求明显不匹配；或投标展示团队与实际实施团队不一致；或仅提供公司业绩而未提供主创人员或团队业绩；或主创人员或团队已离职、不在岗，难以保障项目顺利实施。</w:t>
            </w:r>
          </w:p>
        </w:tc>
        <w:tc>
          <w:tcPr>
            <w:tcW w:w="8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452D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709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36BF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8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51BE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</w:tr>
      <w:tr w14:paraId="4C38B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atLeast"/>
          <w:jc w:val="center"/>
        </w:trPr>
        <w:tc>
          <w:tcPr>
            <w:tcW w:w="1107" w:type="dxa"/>
            <w:vMerge w:val="continue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5E8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705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756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② 人员分工与项目投入安排（5分）</w:t>
            </w:r>
          </w:p>
          <w:p w14:paraId="3684FB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优（4—5分）：明确各岗位人员职责、各设计阶段投入安排，人员分工具体、职责清晰，项目各阶段均有相应人员保障。投标人须提交团队履约承诺书，明确项目全过程（方案设计、深化设计、效果图表现、施工配合等）均由投标展示团队完成，主要设计人员不得中途更换；如确需更换须经招标人书面同意，且继任人员资历、业绩不得低于原人员，确保展示团队与履约团队始终一致。</w:t>
            </w:r>
          </w:p>
          <w:p w14:paraId="44C43E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良（2—3分）：有基本的人员分工和投入安排，但个别阶段职责或投入不够明确；或团队履约承诺条款不够具体、约束力不足。</w:t>
            </w:r>
          </w:p>
          <w:p w14:paraId="5A1217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差（0—2分）：未提供人员分工或投入安排，或内容空洞、缺乏针对性；或未对团队一致性及人员稳定性作出承诺，难以评价实际执行情况。</w:t>
            </w:r>
          </w:p>
        </w:tc>
        <w:tc>
          <w:tcPr>
            <w:tcW w:w="8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B2D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709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93F0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8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292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</w:tr>
      <w:tr w14:paraId="33862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atLeast"/>
          <w:jc w:val="center"/>
        </w:trPr>
        <w:tc>
          <w:tcPr>
            <w:tcW w:w="1107" w:type="dxa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4C64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七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业绩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获奖（1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分）</w:t>
            </w:r>
          </w:p>
        </w:tc>
        <w:tc>
          <w:tcPr>
            <w:tcW w:w="705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826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近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年（202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年6月至2026年6月）完成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同类文化展示项目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设计，每项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分，最高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分，须提供合同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或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竣工验收证明原件扫描件。</w:t>
            </w:r>
          </w:p>
        </w:tc>
        <w:tc>
          <w:tcPr>
            <w:tcW w:w="8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DEC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709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0CB5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8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D7B1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</w:tr>
      <w:tr w14:paraId="6DF3C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atLeast"/>
          <w:jc w:val="center"/>
        </w:trPr>
        <w:tc>
          <w:tcPr>
            <w:tcW w:w="1107" w:type="dxa"/>
            <w:vMerge w:val="continue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158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705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8009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①获得国家级设计奖项的，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每项得5分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；</w:t>
            </w:r>
          </w:p>
          <w:p w14:paraId="79452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②获得省级设计奖项的，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每项得3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分；</w:t>
            </w:r>
          </w:p>
          <w:p w14:paraId="0AD219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③获得市级（含副省级）设计奖项的，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每项得2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分。</w:t>
            </w:r>
          </w:p>
          <w:p w14:paraId="5F6BE9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本项累计最高得5分。</w:t>
            </w:r>
          </w:p>
        </w:tc>
        <w:tc>
          <w:tcPr>
            <w:tcW w:w="8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BD6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70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0E80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8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684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</w:tr>
      <w:tr w14:paraId="7D621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atLeast"/>
          <w:jc w:val="center"/>
        </w:trPr>
        <w:tc>
          <w:tcPr>
            <w:tcW w:w="110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6D4E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八、报价得分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（10分）</w:t>
            </w:r>
          </w:p>
        </w:tc>
        <w:tc>
          <w:tcPr>
            <w:tcW w:w="705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123C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报价得分=（基准价/最后磋商报价）×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  <w:p w14:paraId="42F9D5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注：满⾜要求且最低报价为基准价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最低报价不是中标的唯⼀依据。</w:t>
            </w:r>
          </w:p>
        </w:tc>
        <w:tc>
          <w:tcPr>
            <w:tcW w:w="8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348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70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B42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8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D5B0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</w:tr>
    </w:tbl>
    <w:p w14:paraId="242E4212">
      <w:pPr>
        <w:keepNext w:val="0"/>
        <w:keepLines w:val="0"/>
        <w:pageBreakBefore w:val="0"/>
        <w:widowControl w:val="0"/>
        <w:tabs>
          <w:tab w:val="left" w:pos="709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left"/>
        <w:textAlignment w:val="auto"/>
        <w:rPr>
          <w:rFonts w:hint="eastAsia"/>
        </w:rPr>
      </w:pPr>
    </w:p>
    <w:p w14:paraId="6997C9A5">
      <w:pPr>
        <w:keepNext w:val="0"/>
        <w:keepLines w:val="0"/>
        <w:pageBreakBefore w:val="0"/>
        <w:widowControl w:val="0"/>
        <w:tabs>
          <w:tab w:val="left" w:pos="709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30" w:firstLineChars="300"/>
        <w:jc w:val="left"/>
        <w:textAlignment w:val="auto"/>
      </w:pPr>
      <w:r>
        <w:rPr>
          <w:rFonts w:hint="eastAsia"/>
          <w:lang w:val="en-US" w:eastAsia="zh-CN"/>
        </w:rPr>
        <w:t>注：</w:t>
      </w:r>
      <w:r>
        <w:rPr>
          <w:rFonts w:hint="eastAsia"/>
        </w:rPr>
        <w:t>技术方案得分低于39分（满分65分的60%）的，视为技术方案不达标，不予推荐为中标候选人。</w:t>
      </w:r>
    </w:p>
    <w:sectPr>
      <w:headerReference r:id="rId3" w:type="default"/>
      <w:footerReference r:id="rId4" w:type="default"/>
      <w:pgSz w:w="11906" w:h="16838"/>
      <w:pgMar w:top="720" w:right="340" w:bottom="527" w:left="340" w:header="231" w:footer="283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4C839B9C-6F82-4491-8969-9B6C9DF3AD2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099354">
    <w:pPr>
      <w:tabs>
        <w:tab w:val="left" w:pos="970"/>
      </w:tabs>
      <w:bidi w:val="0"/>
      <w:jc w:val="center"/>
    </w:pPr>
    <w:r>
      <w:rPr>
        <w:rFonts w:hint="eastAsia"/>
        <w:lang w:val="en-US" w:eastAsia="zh-CN"/>
      </w:rPr>
      <w:t>评审专家：                                         日期：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F575D6">
    <w:pPr>
      <w:pStyle w:val="5"/>
      <w:pBdr>
        <w:bottom w:val="none" w:color="auto" w:sz="0" w:space="1"/>
      </w:pBdr>
      <w:spacing w:line="520" w:lineRule="exact"/>
      <w:rPr>
        <w:rFonts w:ascii="方正小标宋简体" w:hAnsi="方正小标宋简体" w:eastAsia="方正小标宋简体" w:cs="方正小标宋简体"/>
        <w:sz w:val="36"/>
        <w:szCs w:val="36"/>
      </w:rPr>
    </w:pPr>
    <w:r>
      <w:rPr>
        <w:rFonts w:hint="eastAsia" w:ascii="方正小标宋简体" w:hAnsi="方正小标宋简体" w:eastAsia="方正小标宋简体" w:cs="方正小标宋简体"/>
        <w:sz w:val="36"/>
        <w:szCs w:val="36"/>
      </w:rPr>
      <w:t>江门市妇幼保健院招采项目评分表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1C9"/>
    <w:rsid w:val="00013713"/>
    <w:rsid w:val="00047B1C"/>
    <w:rsid w:val="000960AD"/>
    <w:rsid w:val="000A0ABC"/>
    <w:rsid w:val="00137CD2"/>
    <w:rsid w:val="00143B27"/>
    <w:rsid w:val="00145A45"/>
    <w:rsid w:val="00152C47"/>
    <w:rsid w:val="001535F6"/>
    <w:rsid w:val="00154B1A"/>
    <w:rsid w:val="00161E8A"/>
    <w:rsid w:val="00162000"/>
    <w:rsid w:val="00187F73"/>
    <w:rsid w:val="00193110"/>
    <w:rsid w:val="00193499"/>
    <w:rsid w:val="001A5FFF"/>
    <w:rsid w:val="001B5B95"/>
    <w:rsid w:val="001D308E"/>
    <w:rsid w:val="001D7F64"/>
    <w:rsid w:val="001F437C"/>
    <w:rsid w:val="0024179B"/>
    <w:rsid w:val="002705F7"/>
    <w:rsid w:val="00272621"/>
    <w:rsid w:val="002A7476"/>
    <w:rsid w:val="002D03DF"/>
    <w:rsid w:val="002D7599"/>
    <w:rsid w:val="002F21B9"/>
    <w:rsid w:val="003154E9"/>
    <w:rsid w:val="00357EB5"/>
    <w:rsid w:val="0036474D"/>
    <w:rsid w:val="0038016C"/>
    <w:rsid w:val="003811EB"/>
    <w:rsid w:val="0038542A"/>
    <w:rsid w:val="00387129"/>
    <w:rsid w:val="00395098"/>
    <w:rsid w:val="003A12F7"/>
    <w:rsid w:val="003B284E"/>
    <w:rsid w:val="003E1E45"/>
    <w:rsid w:val="003E2501"/>
    <w:rsid w:val="003F1F11"/>
    <w:rsid w:val="003F7928"/>
    <w:rsid w:val="0044070A"/>
    <w:rsid w:val="00474FC2"/>
    <w:rsid w:val="00476B5C"/>
    <w:rsid w:val="00480B3E"/>
    <w:rsid w:val="00490549"/>
    <w:rsid w:val="004C1423"/>
    <w:rsid w:val="0050581E"/>
    <w:rsid w:val="005243A5"/>
    <w:rsid w:val="00526DC0"/>
    <w:rsid w:val="00530482"/>
    <w:rsid w:val="00533958"/>
    <w:rsid w:val="00556D62"/>
    <w:rsid w:val="00566ADB"/>
    <w:rsid w:val="0057136E"/>
    <w:rsid w:val="00592401"/>
    <w:rsid w:val="00593ED4"/>
    <w:rsid w:val="0059422A"/>
    <w:rsid w:val="005B278E"/>
    <w:rsid w:val="005B749B"/>
    <w:rsid w:val="005D2381"/>
    <w:rsid w:val="00633625"/>
    <w:rsid w:val="0063669D"/>
    <w:rsid w:val="00645D6F"/>
    <w:rsid w:val="0068676D"/>
    <w:rsid w:val="00694720"/>
    <w:rsid w:val="006953CF"/>
    <w:rsid w:val="0069761F"/>
    <w:rsid w:val="006A11C9"/>
    <w:rsid w:val="006A1BCF"/>
    <w:rsid w:val="006A7376"/>
    <w:rsid w:val="006A7990"/>
    <w:rsid w:val="006C7CEE"/>
    <w:rsid w:val="006E4AE1"/>
    <w:rsid w:val="006F17FA"/>
    <w:rsid w:val="00716E25"/>
    <w:rsid w:val="00721347"/>
    <w:rsid w:val="00724E9D"/>
    <w:rsid w:val="007432CF"/>
    <w:rsid w:val="00751843"/>
    <w:rsid w:val="00780C08"/>
    <w:rsid w:val="007849D5"/>
    <w:rsid w:val="00803258"/>
    <w:rsid w:val="00804B1B"/>
    <w:rsid w:val="0082650E"/>
    <w:rsid w:val="00854248"/>
    <w:rsid w:val="008D64C2"/>
    <w:rsid w:val="00903484"/>
    <w:rsid w:val="009046F1"/>
    <w:rsid w:val="00914218"/>
    <w:rsid w:val="00915ACA"/>
    <w:rsid w:val="00937C0C"/>
    <w:rsid w:val="009B5B7B"/>
    <w:rsid w:val="009B7F5A"/>
    <w:rsid w:val="009C34DE"/>
    <w:rsid w:val="009D3B54"/>
    <w:rsid w:val="009E0A51"/>
    <w:rsid w:val="009F603B"/>
    <w:rsid w:val="00A0014E"/>
    <w:rsid w:val="00A0375A"/>
    <w:rsid w:val="00A25994"/>
    <w:rsid w:val="00A35C11"/>
    <w:rsid w:val="00A40F93"/>
    <w:rsid w:val="00A423D3"/>
    <w:rsid w:val="00A55122"/>
    <w:rsid w:val="00A60817"/>
    <w:rsid w:val="00A643B2"/>
    <w:rsid w:val="00A934B5"/>
    <w:rsid w:val="00AA22E2"/>
    <w:rsid w:val="00AA5B59"/>
    <w:rsid w:val="00AC36FB"/>
    <w:rsid w:val="00B32D8A"/>
    <w:rsid w:val="00B66EE8"/>
    <w:rsid w:val="00B74781"/>
    <w:rsid w:val="00BA2983"/>
    <w:rsid w:val="00BA6686"/>
    <w:rsid w:val="00BD4CE1"/>
    <w:rsid w:val="00BD7455"/>
    <w:rsid w:val="00C0765C"/>
    <w:rsid w:val="00C560BC"/>
    <w:rsid w:val="00C61A02"/>
    <w:rsid w:val="00C72981"/>
    <w:rsid w:val="00C90F49"/>
    <w:rsid w:val="00CD48DB"/>
    <w:rsid w:val="00CD567B"/>
    <w:rsid w:val="00CF50F7"/>
    <w:rsid w:val="00D24572"/>
    <w:rsid w:val="00D266BD"/>
    <w:rsid w:val="00D34FF3"/>
    <w:rsid w:val="00D554FE"/>
    <w:rsid w:val="00D64AFB"/>
    <w:rsid w:val="00D7291B"/>
    <w:rsid w:val="00D73D1D"/>
    <w:rsid w:val="00D84386"/>
    <w:rsid w:val="00D87CE4"/>
    <w:rsid w:val="00DA159D"/>
    <w:rsid w:val="00DC6AC7"/>
    <w:rsid w:val="00DD0592"/>
    <w:rsid w:val="00DD059D"/>
    <w:rsid w:val="00DD3D20"/>
    <w:rsid w:val="00DE2169"/>
    <w:rsid w:val="00DE5DB2"/>
    <w:rsid w:val="00DF16FF"/>
    <w:rsid w:val="00DF5E0C"/>
    <w:rsid w:val="00E043F5"/>
    <w:rsid w:val="00E4113C"/>
    <w:rsid w:val="00E41F94"/>
    <w:rsid w:val="00E7031A"/>
    <w:rsid w:val="00E848EE"/>
    <w:rsid w:val="00E85130"/>
    <w:rsid w:val="00EA0689"/>
    <w:rsid w:val="00EA2073"/>
    <w:rsid w:val="00EB19D5"/>
    <w:rsid w:val="00EC2EE7"/>
    <w:rsid w:val="00F25709"/>
    <w:rsid w:val="00F50751"/>
    <w:rsid w:val="00F52E0F"/>
    <w:rsid w:val="00F834A9"/>
    <w:rsid w:val="00F92EB2"/>
    <w:rsid w:val="00FD5302"/>
    <w:rsid w:val="033330F0"/>
    <w:rsid w:val="0595111F"/>
    <w:rsid w:val="06085010"/>
    <w:rsid w:val="069D376A"/>
    <w:rsid w:val="06AA71FC"/>
    <w:rsid w:val="076A3E76"/>
    <w:rsid w:val="07EF0236"/>
    <w:rsid w:val="085D7EC7"/>
    <w:rsid w:val="08903B99"/>
    <w:rsid w:val="09272E13"/>
    <w:rsid w:val="0A655802"/>
    <w:rsid w:val="0A8B1561"/>
    <w:rsid w:val="0B29385D"/>
    <w:rsid w:val="0BB66D16"/>
    <w:rsid w:val="0C6D2950"/>
    <w:rsid w:val="0C7E090C"/>
    <w:rsid w:val="0D8A7B44"/>
    <w:rsid w:val="0EE35194"/>
    <w:rsid w:val="0EF30F22"/>
    <w:rsid w:val="0F5457FA"/>
    <w:rsid w:val="0FC22C67"/>
    <w:rsid w:val="10BB6702"/>
    <w:rsid w:val="11C955BB"/>
    <w:rsid w:val="121C3724"/>
    <w:rsid w:val="12492775"/>
    <w:rsid w:val="129E6898"/>
    <w:rsid w:val="133D4D41"/>
    <w:rsid w:val="136646D4"/>
    <w:rsid w:val="13EC5F71"/>
    <w:rsid w:val="13F27D2F"/>
    <w:rsid w:val="14D342B9"/>
    <w:rsid w:val="155434D9"/>
    <w:rsid w:val="15810270"/>
    <w:rsid w:val="15992D7D"/>
    <w:rsid w:val="16550F32"/>
    <w:rsid w:val="16A135AF"/>
    <w:rsid w:val="16EA4CA9"/>
    <w:rsid w:val="16EC4928"/>
    <w:rsid w:val="17697775"/>
    <w:rsid w:val="17841624"/>
    <w:rsid w:val="17FE273C"/>
    <w:rsid w:val="19BB53E2"/>
    <w:rsid w:val="1AFA79D1"/>
    <w:rsid w:val="1B202914"/>
    <w:rsid w:val="1D2D666C"/>
    <w:rsid w:val="1D3075F1"/>
    <w:rsid w:val="1F8E2953"/>
    <w:rsid w:val="20542568"/>
    <w:rsid w:val="2154483D"/>
    <w:rsid w:val="21963960"/>
    <w:rsid w:val="21D12EF6"/>
    <w:rsid w:val="222D4521"/>
    <w:rsid w:val="231A0926"/>
    <w:rsid w:val="239D1036"/>
    <w:rsid w:val="2496235F"/>
    <w:rsid w:val="25BD0EF9"/>
    <w:rsid w:val="268D24CB"/>
    <w:rsid w:val="26EB55DC"/>
    <w:rsid w:val="279A104D"/>
    <w:rsid w:val="27B37D2F"/>
    <w:rsid w:val="27BC1450"/>
    <w:rsid w:val="28906419"/>
    <w:rsid w:val="29061681"/>
    <w:rsid w:val="29346F27"/>
    <w:rsid w:val="2C837613"/>
    <w:rsid w:val="2CA8783B"/>
    <w:rsid w:val="2DD84003"/>
    <w:rsid w:val="2EE5163F"/>
    <w:rsid w:val="2F945C9C"/>
    <w:rsid w:val="3073310C"/>
    <w:rsid w:val="30F73365"/>
    <w:rsid w:val="311473FB"/>
    <w:rsid w:val="31FC7390"/>
    <w:rsid w:val="32A233A1"/>
    <w:rsid w:val="32A36BD3"/>
    <w:rsid w:val="347A0A28"/>
    <w:rsid w:val="34D46B38"/>
    <w:rsid w:val="34F06469"/>
    <w:rsid w:val="35037688"/>
    <w:rsid w:val="35497DFC"/>
    <w:rsid w:val="356E6D37"/>
    <w:rsid w:val="36405C01"/>
    <w:rsid w:val="36794C6B"/>
    <w:rsid w:val="36DC6F0E"/>
    <w:rsid w:val="374B128B"/>
    <w:rsid w:val="376B702A"/>
    <w:rsid w:val="38B96174"/>
    <w:rsid w:val="3A394391"/>
    <w:rsid w:val="3AF215C1"/>
    <w:rsid w:val="3B011BDC"/>
    <w:rsid w:val="3B885D22"/>
    <w:rsid w:val="3B9236C9"/>
    <w:rsid w:val="3C1A48A7"/>
    <w:rsid w:val="3D494F99"/>
    <w:rsid w:val="3DA86FE3"/>
    <w:rsid w:val="3DEF482D"/>
    <w:rsid w:val="4017160C"/>
    <w:rsid w:val="41300182"/>
    <w:rsid w:val="415F13B8"/>
    <w:rsid w:val="42557F64"/>
    <w:rsid w:val="44B7644A"/>
    <w:rsid w:val="44C60C63"/>
    <w:rsid w:val="44ED1B2D"/>
    <w:rsid w:val="46A11FED"/>
    <w:rsid w:val="483F7F95"/>
    <w:rsid w:val="484F022F"/>
    <w:rsid w:val="491A4480"/>
    <w:rsid w:val="49380563"/>
    <w:rsid w:val="4C7A2888"/>
    <w:rsid w:val="4CC151FB"/>
    <w:rsid w:val="4CDF25AC"/>
    <w:rsid w:val="4D9D6E4B"/>
    <w:rsid w:val="4E2C224E"/>
    <w:rsid w:val="4EC15FC5"/>
    <w:rsid w:val="51656219"/>
    <w:rsid w:val="532219F2"/>
    <w:rsid w:val="532D3606"/>
    <w:rsid w:val="5467796B"/>
    <w:rsid w:val="54AF439E"/>
    <w:rsid w:val="55AE1D7D"/>
    <w:rsid w:val="56937118"/>
    <w:rsid w:val="56E2471A"/>
    <w:rsid w:val="57204800"/>
    <w:rsid w:val="57503424"/>
    <w:rsid w:val="595344CA"/>
    <w:rsid w:val="597466A4"/>
    <w:rsid w:val="5B237E93"/>
    <w:rsid w:val="5C2B06C5"/>
    <w:rsid w:val="5E1C33F4"/>
    <w:rsid w:val="5E3B7AF9"/>
    <w:rsid w:val="5FE22D60"/>
    <w:rsid w:val="60017D91"/>
    <w:rsid w:val="603E7DAD"/>
    <w:rsid w:val="606964BC"/>
    <w:rsid w:val="60CC2CDD"/>
    <w:rsid w:val="614E730A"/>
    <w:rsid w:val="636D582F"/>
    <w:rsid w:val="6395523F"/>
    <w:rsid w:val="63E818F6"/>
    <w:rsid w:val="646060BC"/>
    <w:rsid w:val="64617060"/>
    <w:rsid w:val="64A010A4"/>
    <w:rsid w:val="64C115D9"/>
    <w:rsid w:val="65A6536B"/>
    <w:rsid w:val="65D12A9B"/>
    <w:rsid w:val="65D16E38"/>
    <w:rsid w:val="665477F1"/>
    <w:rsid w:val="66C22023"/>
    <w:rsid w:val="66E42BA0"/>
    <w:rsid w:val="6712692A"/>
    <w:rsid w:val="67361858"/>
    <w:rsid w:val="67953680"/>
    <w:rsid w:val="685933BE"/>
    <w:rsid w:val="686F27DE"/>
    <w:rsid w:val="69783B7C"/>
    <w:rsid w:val="69AA1A66"/>
    <w:rsid w:val="69E63E4A"/>
    <w:rsid w:val="6AB06D96"/>
    <w:rsid w:val="6ABE377E"/>
    <w:rsid w:val="6AD12B4E"/>
    <w:rsid w:val="6CBC665B"/>
    <w:rsid w:val="6D8A74C3"/>
    <w:rsid w:val="6DDA2CA0"/>
    <w:rsid w:val="72130881"/>
    <w:rsid w:val="72AE42B2"/>
    <w:rsid w:val="73E752B4"/>
    <w:rsid w:val="74932C46"/>
    <w:rsid w:val="754C03FE"/>
    <w:rsid w:val="7646191B"/>
    <w:rsid w:val="77050A54"/>
    <w:rsid w:val="773A7C2A"/>
    <w:rsid w:val="77AE7BE8"/>
    <w:rsid w:val="78360DC6"/>
    <w:rsid w:val="789D1A6F"/>
    <w:rsid w:val="79804A8A"/>
    <w:rsid w:val="7A140357"/>
    <w:rsid w:val="7C9B6A7C"/>
    <w:rsid w:val="7CE34C72"/>
    <w:rsid w:val="7E207EFD"/>
    <w:rsid w:val="7EB81375"/>
    <w:rsid w:val="7F5065BF"/>
    <w:rsid w:val="7F567F7A"/>
    <w:rsid w:val="7F572178"/>
    <w:rsid w:val="7FD76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  <w:lang w:val="en-US" w:eastAsia="zh-CN" w:bidi="ar-SA"/>
    </w:rPr>
  </w:style>
  <w:style w:type="paragraph" w:styleId="3">
    <w:name w:val="Plain Text"/>
    <w:basedOn w:val="1"/>
    <w:link w:val="15"/>
    <w:unhideWhenUsed/>
    <w:qFormat/>
    <w:uiPriority w:val="0"/>
    <w:rPr>
      <w:rFonts w:ascii="宋体" w:hAnsi="Courier New" w:cstheme="minorBidi"/>
      <w:szCs w:val="22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rPr>
      <w:sz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</w:rPr>
  </w:style>
  <w:style w:type="character" w:customStyle="1" w:styleId="11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纯文本 Char"/>
    <w:basedOn w:val="9"/>
    <w:qFormat/>
    <w:locked/>
    <w:uiPriority w:val="0"/>
    <w:rPr>
      <w:rFonts w:ascii="宋体" w:hAnsi="Courier New" w:eastAsia="宋体"/>
    </w:rPr>
  </w:style>
  <w:style w:type="character" w:customStyle="1" w:styleId="15">
    <w:name w:val="纯文本 Char1"/>
    <w:basedOn w:val="9"/>
    <w:link w:val="3"/>
    <w:semiHidden/>
    <w:qFormat/>
    <w:uiPriority w:val="99"/>
    <w:rPr>
      <w:rFonts w:ascii="宋体" w:hAnsi="Courier New" w:eastAsia="宋体" w:cs="Courier New"/>
      <w:szCs w:val="21"/>
    </w:rPr>
  </w:style>
  <w:style w:type="paragraph" w:customStyle="1" w:styleId="16">
    <w:name w:val="null3"/>
    <w:qFormat/>
    <w:uiPriority w:val="0"/>
    <w:rPr>
      <w:rFonts w:hint="eastAsia" w:ascii="Calibri" w:hAnsi="Calibri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1950</Words>
  <Characters>2046</Characters>
  <Lines>9</Lines>
  <Paragraphs>2</Paragraphs>
  <TotalTime>2</TotalTime>
  <ScaleCrop>false</ScaleCrop>
  <LinksUpToDate>false</LinksUpToDate>
  <CharactersWithSpaces>2048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2026-01-15T03:25:00Z</dcterms:created>
  <dc:creator>倪良军</dc:creator>
  <cp:lastModifiedBy>Regina</cp:lastModifiedBy>
  <cp:lastPrinted>2025-12-04T09:07:00Z</cp:lastPrinted>
  <dcterms:modified xsi:type="dcterms:W3CDTF">2026-09-24T02:56:48Z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eyJoZGlkIjoiNjI4MGFhMzNkNWViMDFkODMyYzBmYmY3MjUyOWZjODUiLCJ1c2VySWQiOiIzNTY2MzE0OTIifQ==</vt:lpwstr>
  </property>
  <property fmtid="{D5CDD505-2E9C-101B-9397-08002B2CF9AE}" pid="4" name="ICV">
    <vt:lpwstr>BAA3FB08186841FFAAC311E31EDD0F3B_13</vt:lpwstr>
  </property>
</Properties>
</file>