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论证</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论证</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8"/>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pPr>
            <w:r>
              <w:rPr>
                <w:rFonts w:hint="eastAsia"/>
              </w:rPr>
              <w:t>YL20260172</w:t>
            </w:r>
            <w:bookmarkStart w:id="0" w:name="_GoBack"/>
            <w:bookmarkEnd w:id="0"/>
          </w:p>
        </w:tc>
        <w:tc>
          <w:tcPr>
            <w:tcW w:w="2778" w:type="dxa"/>
            <w:vAlign w:val="center"/>
          </w:tcPr>
          <w:p w14:paraId="7C7429C9">
            <w:pPr>
              <w:jc w:val="center"/>
              <w:rPr>
                <w:rFonts w:hint="default" w:eastAsiaTheme="minorEastAsia"/>
                <w:lang w:val="en-US" w:eastAsia="zh-CN"/>
              </w:rPr>
            </w:pPr>
            <w:r>
              <w:rPr>
                <w:rFonts w:hint="eastAsia"/>
                <w:lang w:val="en-US" w:eastAsia="zh-CN"/>
              </w:rPr>
              <w:t>体外膜肺氧合（ECMO）</w:t>
            </w:r>
          </w:p>
        </w:tc>
        <w:tc>
          <w:tcPr>
            <w:tcW w:w="1077" w:type="dxa"/>
            <w:vAlign w:val="center"/>
          </w:tcPr>
          <w:p w14:paraId="795129D5">
            <w:pPr>
              <w:jc w:val="center"/>
              <w:rPr>
                <w:rFonts w:hint="eastAsia" w:eastAsiaTheme="minorEastAsia"/>
                <w:lang w:eastAsia="zh-CN"/>
              </w:rPr>
            </w:pPr>
            <w:r>
              <w:rPr>
                <w:rFonts w:hint="eastAsia"/>
                <w:lang w:val="en-US" w:eastAsia="zh-CN"/>
              </w:rPr>
              <w:t>套</w:t>
            </w:r>
          </w:p>
        </w:tc>
        <w:tc>
          <w:tcPr>
            <w:tcW w:w="1077" w:type="dxa"/>
            <w:vAlign w:val="center"/>
          </w:tcPr>
          <w:p w14:paraId="4B4CE556">
            <w:pPr>
              <w:jc w:val="center"/>
              <w:rPr>
                <w:rFonts w:hint="default" w:eastAsiaTheme="minorEastAsia"/>
                <w:lang w:val="en-US" w:eastAsia="zh-CN"/>
              </w:rPr>
            </w:pPr>
            <w:r>
              <w:rPr>
                <w:rFonts w:hint="eastAsia"/>
                <w:lang w:val="en-US" w:eastAsia="zh-CN"/>
              </w:rPr>
              <w:t>1</w:t>
            </w:r>
          </w:p>
        </w:tc>
        <w:tc>
          <w:tcPr>
            <w:tcW w:w="1077" w:type="dxa"/>
            <w:vAlign w:val="center"/>
          </w:tcPr>
          <w:p w14:paraId="2C781761">
            <w:pPr>
              <w:jc w:val="center"/>
              <w:rPr>
                <w:rFonts w:hint="default" w:eastAsiaTheme="minorEastAsia"/>
                <w:lang w:val="en-US" w:eastAsia="zh-CN"/>
              </w:rPr>
            </w:pPr>
            <w:r>
              <w:rPr>
                <w:rFonts w:hint="eastAsia"/>
                <w:lang w:val="en-US" w:eastAsia="zh-CN"/>
              </w:rPr>
              <w:t>210</w:t>
            </w:r>
          </w:p>
        </w:tc>
        <w:tc>
          <w:tcPr>
            <w:tcW w:w="1134" w:type="dxa"/>
            <w:vAlign w:val="center"/>
          </w:tcPr>
          <w:p w14:paraId="221A0439">
            <w:pPr>
              <w:jc w:val="center"/>
            </w:pPr>
          </w:p>
        </w:tc>
      </w:tr>
    </w:tbl>
    <w:p w14:paraId="720D90AD">
      <w:pPr>
        <w:spacing w:line="480" w:lineRule="auto"/>
      </w:pPr>
      <w:r>
        <w:rPr>
          <w:b/>
          <w:sz w:val="24"/>
        </w:rPr>
        <w:t>附表</w:t>
      </w:r>
      <w:r>
        <w:rPr>
          <w:rFonts w:hint="eastAsia"/>
          <w:b/>
          <w:sz w:val="24"/>
        </w:rPr>
        <w:t>一</w:t>
      </w:r>
      <w:r>
        <w:rPr>
          <w:b/>
          <w:sz w:val="24"/>
        </w:rPr>
        <w:t>：</w:t>
      </w:r>
      <w:r>
        <w:t xml:space="preserve"> </w:t>
      </w:r>
    </w:p>
    <w:tbl>
      <w:tblPr>
        <w:tblStyle w:val="8"/>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1</w:t>
            </w:r>
          </w:p>
        </w:tc>
        <w:tc>
          <w:tcPr>
            <w:tcW w:w="486" w:type="dxa"/>
            <w:vAlign w:val="center"/>
          </w:tcPr>
          <w:p w14:paraId="0430E09C">
            <w:pPr>
              <w:jc w:val="center"/>
              <w:rPr>
                <w:rFonts w:hint="default" w:eastAsiaTheme="minorEastAsia"/>
                <w:lang w:val="en-US" w:eastAsia="zh-CN"/>
              </w:rPr>
            </w:pPr>
            <w:r>
              <w:rPr>
                <w:rFonts w:hint="eastAsia"/>
                <w:lang w:val="en-US" w:eastAsia="zh-CN"/>
              </w:rPr>
              <w:t>技术参数</w:t>
            </w:r>
          </w:p>
        </w:tc>
        <w:tc>
          <w:tcPr>
            <w:tcW w:w="7500" w:type="dxa"/>
          </w:tcPr>
          <w:tbl>
            <w:tblPr>
              <w:tblStyle w:val="9"/>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spacing w:line="360" w:lineRule="auto"/>
                    <w:jc w:val="center"/>
                    <w:rPr>
                      <w:rFonts w:hint="eastAsia" w:ascii="宋体" w:hAnsi="宋体" w:eastAsia="宋体" w:cs="宋体"/>
                      <w:b w:val="0"/>
                      <w:bCs/>
                      <w:kern w:val="0"/>
                      <w:sz w:val="20"/>
                      <w:szCs w:val="20"/>
                      <w:lang w:eastAsia="zh-CN"/>
                    </w:rPr>
                  </w:pPr>
                  <w:r>
                    <w:rPr>
                      <w:rFonts w:hint="eastAsia" w:ascii="宋体" w:hAnsi="宋体" w:eastAsia="宋体" w:cs="宋体"/>
                      <w:b w:val="0"/>
                      <w:bCs/>
                      <w:kern w:val="0"/>
                      <w:sz w:val="20"/>
                      <w:szCs w:val="20"/>
                      <w:lang w:val="en-US" w:eastAsia="zh-CN"/>
                    </w:rPr>
                    <w:t>一</w:t>
                  </w:r>
                </w:p>
              </w:tc>
              <w:tc>
                <w:tcPr>
                  <w:tcW w:w="6292" w:type="dxa"/>
                  <w:shd w:val="clear" w:color="auto" w:fill="FDE9D9" w:themeFill="accent6" w:themeFillTint="33"/>
                  <w:vAlign w:val="center"/>
                </w:tcPr>
                <w:p w14:paraId="144D5BAD">
                  <w:pPr>
                    <w:keepNext w:val="0"/>
                    <w:keepLines w:val="0"/>
                    <w:pageBreakBefore w:val="0"/>
                    <w:widowControl/>
                    <w:kinsoku/>
                    <w:wordWrap/>
                    <w:overflowPunct/>
                    <w:topLinePunct w:val="0"/>
                    <w:autoSpaceDE/>
                    <w:autoSpaceDN/>
                    <w:bidi w:val="0"/>
                    <w:adjustRightInd/>
                    <w:spacing w:line="240" w:lineRule="exact"/>
                    <w:jc w:val="both"/>
                    <w:textAlignment w:val="center"/>
                    <w:rPr>
                      <w:rFonts w:hint="eastAsia" w:ascii="宋体" w:hAnsi="宋体" w:eastAsia="宋体" w:cs="宋体"/>
                      <w:b w:val="0"/>
                      <w:bCs/>
                      <w:kern w:val="0"/>
                      <w:sz w:val="20"/>
                      <w:szCs w:val="20"/>
                    </w:rPr>
                  </w:pPr>
                  <w:r>
                    <w:rPr>
                      <w:rFonts w:hint="eastAsia" w:ascii="宋体" w:hAnsi="宋体" w:eastAsia="宋体" w:cs="宋体"/>
                      <w:color w:val="FF0000"/>
                      <w:kern w:val="0"/>
                      <w:sz w:val="21"/>
                      <w:szCs w:val="21"/>
                      <w:lang w:bidi="ar"/>
                    </w:rPr>
                    <w:t>设备基本功能参数</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spacing w:line="360" w:lineRule="auto"/>
                    <w:jc w:val="center"/>
                    <w:rPr>
                      <w:rFonts w:hint="eastAsia" w:ascii="宋体" w:hAnsi="宋体" w:eastAsia="宋体" w:cs="宋体"/>
                      <w:b w:val="0"/>
                      <w:bCs/>
                      <w:kern w:val="0"/>
                      <w:sz w:val="20"/>
                      <w:szCs w:val="20"/>
                      <w:lang w:eastAsia="zh-CN"/>
                    </w:rPr>
                  </w:pPr>
                  <w:r>
                    <w:rPr>
                      <w:rFonts w:hint="eastAsia" w:ascii="宋体" w:hAnsi="宋体" w:eastAsia="宋体" w:cs="宋体"/>
                      <w:b w:val="0"/>
                      <w:bCs/>
                      <w:kern w:val="0"/>
                      <w:sz w:val="20"/>
                      <w:szCs w:val="20"/>
                      <w:lang w:val="en-US" w:eastAsia="zh-CN"/>
                    </w:rPr>
                    <w:t>1</w:t>
                  </w:r>
                </w:p>
              </w:tc>
              <w:tc>
                <w:tcPr>
                  <w:tcW w:w="6292" w:type="dxa"/>
                  <w:shd w:val="clear" w:color="auto" w:fill="FDE9D9" w:themeFill="accent6" w:themeFillTint="33"/>
                  <w:vAlign w:val="center"/>
                </w:tcPr>
                <w:p w14:paraId="0D03B756">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highlight w:val="none"/>
                    </w:rPr>
                    <w:t>主机系统(含应急自动驱动装置)</w:t>
                  </w:r>
                  <w:r>
                    <w:rPr>
                      <w:rFonts w:hint="eastAsia" w:ascii="华文中宋" w:hAnsi="华文中宋" w:eastAsia="华文中宋" w:cs="华文中宋"/>
                      <w:sz w:val="21"/>
                      <w:szCs w:val="21"/>
                      <w:highlight w:val="none"/>
                      <w:lang w:eastAsia="zh-CN"/>
                    </w:rPr>
                    <w:t>，重量≤1</w:t>
                  </w:r>
                  <w:r>
                    <w:rPr>
                      <w:rFonts w:hint="eastAsia" w:ascii="华文中宋" w:hAnsi="华文中宋" w:eastAsia="华文中宋" w:cs="华文中宋"/>
                      <w:sz w:val="21"/>
                      <w:szCs w:val="21"/>
                      <w:highlight w:val="none"/>
                      <w:lang w:val="en-US" w:eastAsia="zh-CN"/>
                    </w:rPr>
                    <w:t>0</w:t>
                  </w:r>
                  <w:r>
                    <w:rPr>
                      <w:rFonts w:hint="eastAsia" w:ascii="华文中宋" w:hAnsi="华文中宋" w:eastAsia="华文中宋" w:cs="华文中宋"/>
                      <w:sz w:val="21"/>
                      <w:szCs w:val="21"/>
                      <w:highlight w:val="none"/>
                      <w:lang w:eastAsia="zh-CN"/>
                    </w:rPr>
                    <w:t>KG</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spacing w:line="360" w:lineRule="auto"/>
                    <w:jc w:val="center"/>
                    <w:rPr>
                      <w:rFonts w:hint="eastAsia" w:ascii="宋体" w:hAnsi="宋体" w:eastAsia="宋体" w:cs="宋体"/>
                      <w:b w:val="0"/>
                      <w:bCs/>
                      <w:kern w:val="0"/>
                      <w:sz w:val="20"/>
                      <w:szCs w:val="20"/>
                      <w:lang w:eastAsia="zh-CN"/>
                    </w:rPr>
                  </w:pPr>
                  <w:r>
                    <w:rPr>
                      <w:rFonts w:hint="eastAsia" w:ascii="宋体" w:hAnsi="宋体" w:eastAsia="宋体" w:cs="宋体"/>
                      <w:b w:val="0"/>
                      <w:bCs/>
                      <w:kern w:val="0"/>
                      <w:sz w:val="20"/>
                      <w:szCs w:val="20"/>
                      <w:lang w:val="en-US" w:eastAsia="zh-CN"/>
                    </w:rPr>
                    <w:t>2</w:t>
                  </w:r>
                </w:p>
              </w:tc>
              <w:tc>
                <w:tcPr>
                  <w:tcW w:w="6292" w:type="dxa"/>
                  <w:shd w:val="clear" w:color="auto" w:fill="FDE9D9" w:themeFill="accent6" w:themeFillTint="33"/>
                  <w:vAlign w:val="center"/>
                </w:tcPr>
                <w:p w14:paraId="789B5173">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highlight w:val="none"/>
                    </w:rPr>
                    <w:t>显示屏≥</w:t>
                  </w:r>
                  <w:r>
                    <w:rPr>
                      <w:sz w:val="21"/>
                      <w:szCs w:val="21"/>
                      <w:lang w:eastAsia="zh-CN"/>
                    </w:rPr>
                    <w:t>1</w:t>
                  </w:r>
                  <w:r>
                    <w:rPr>
                      <w:rFonts w:hint="default"/>
                      <w:sz w:val="21"/>
                      <w:szCs w:val="21"/>
                      <w:lang w:eastAsia="zh-CN"/>
                    </w:rPr>
                    <w:t>0.4</w:t>
                  </w:r>
                  <w:r>
                    <w:rPr>
                      <w:rFonts w:hint="eastAsia" w:ascii="华文中宋" w:hAnsi="华文中宋" w:eastAsia="华文中宋" w:cs="华文中宋"/>
                      <w:sz w:val="21"/>
                      <w:szCs w:val="21"/>
                      <w:highlight w:val="none"/>
                    </w:rPr>
                    <w:t>寸</w:t>
                  </w:r>
                  <w:r>
                    <w:rPr>
                      <w:rFonts w:hint="eastAsia" w:ascii="华文中宋" w:hAnsi="华文中宋" w:eastAsia="华文中宋" w:cs="华文中宋"/>
                      <w:sz w:val="21"/>
                      <w:szCs w:val="21"/>
                      <w:highlight w:val="none"/>
                      <w:lang w:eastAsia="zh-CN"/>
                    </w:rPr>
                    <w:t>，</w:t>
                  </w:r>
                  <w:r>
                    <w:rPr>
                      <w:rFonts w:hint="eastAsia" w:ascii="华文中宋" w:hAnsi="华文中宋" w:eastAsia="华文中宋" w:cs="华文中宋"/>
                      <w:sz w:val="21"/>
                      <w:szCs w:val="21"/>
                      <w:highlight w:val="none"/>
                    </w:rPr>
                    <w:t>TFT触摸屏。</w:t>
                  </w:r>
                </w:p>
              </w:tc>
            </w:tr>
            <w:tr w14:paraId="1FB4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6442FA3">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3</w:t>
                  </w:r>
                </w:p>
              </w:tc>
              <w:tc>
                <w:tcPr>
                  <w:tcW w:w="6292" w:type="dxa"/>
                  <w:shd w:val="clear" w:color="auto" w:fill="FDE9D9" w:themeFill="accent6" w:themeFillTint="33"/>
                  <w:vAlign w:val="center"/>
                </w:tcPr>
                <w:p w14:paraId="6BBF772A">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rPr>
                    <w:t>中文操作系统，可实现多参数及趋势图同时显示。</w:t>
                  </w:r>
                </w:p>
              </w:tc>
            </w:tr>
            <w:tr w14:paraId="7CEC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C1E84FC">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4</w:t>
                  </w:r>
                </w:p>
              </w:tc>
              <w:tc>
                <w:tcPr>
                  <w:tcW w:w="6292" w:type="dxa"/>
                  <w:shd w:val="clear" w:color="auto" w:fill="FDE9D9" w:themeFill="accent6" w:themeFillTint="33"/>
                  <w:vAlign w:val="center"/>
                </w:tcPr>
                <w:p w14:paraId="70E94C31">
                  <w:pPr>
                    <w:keepNext w:val="0"/>
                    <w:keepLines w:val="0"/>
                    <w:pageBreakBefore w:val="0"/>
                    <w:widowControl w:val="0"/>
                    <w:numPr>
                      <w:ilvl w:val="0"/>
                      <w:numId w:val="0"/>
                    </w:numPr>
                    <w:kinsoku/>
                    <w:wordWrap/>
                    <w:overflowPunct/>
                    <w:topLinePunct w:val="0"/>
                    <w:autoSpaceDE/>
                    <w:autoSpaceDN/>
                    <w:bidi w:val="0"/>
                    <w:adjustRightInd/>
                    <w:snapToGrid w:val="0"/>
                    <w:spacing w:line="240" w:lineRule="exact"/>
                    <w:ind w:left="0" w:leftChars="0" w:firstLine="0" w:firstLineChars="0"/>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rPr>
                    <w:t>泵头驱动工作原理：磁力驱动。</w:t>
                  </w:r>
                </w:p>
              </w:tc>
            </w:tr>
            <w:tr w14:paraId="74A8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F882983">
                  <w:pPr>
                    <w:spacing w:line="360" w:lineRule="auto"/>
                    <w:jc w:val="center"/>
                    <w:rPr>
                      <w:rFonts w:hint="eastAsia"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5</w:t>
                  </w:r>
                </w:p>
              </w:tc>
              <w:tc>
                <w:tcPr>
                  <w:tcW w:w="6292" w:type="dxa"/>
                  <w:shd w:val="clear" w:color="auto" w:fill="FDE9D9" w:themeFill="accent6" w:themeFillTint="33"/>
                  <w:vAlign w:val="center"/>
                </w:tcPr>
                <w:p w14:paraId="038BE553">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highlight w:val="none"/>
                    </w:rPr>
                    <w:t>驱动器转速≥</w:t>
                  </w:r>
                  <w:r>
                    <w:rPr>
                      <w:rFonts w:hint="eastAsia" w:ascii="华文中宋" w:hAnsi="华文中宋" w:eastAsia="华文中宋" w:cs="华文中宋"/>
                      <w:sz w:val="21"/>
                      <w:szCs w:val="21"/>
                      <w:highlight w:val="none"/>
                      <w:lang w:val="en-US" w:eastAsia="zh-CN"/>
                    </w:rPr>
                    <w:t>60</w:t>
                  </w:r>
                  <w:r>
                    <w:rPr>
                      <w:rFonts w:hint="eastAsia" w:ascii="华文中宋" w:hAnsi="华文中宋" w:eastAsia="华文中宋" w:cs="华文中宋"/>
                      <w:sz w:val="21"/>
                      <w:szCs w:val="21"/>
                      <w:highlight w:val="none"/>
                    </w:rPr>
                    <w:t>00</w:t>
                  </w:r>
                  <w:r>
                    <w:rPr>
                      <w:rFonts w:hint="eastAsia" w:ascii="华文中宋" w:hAnsi="华文中宋" w:eastAsia="华文中宋" w:cs="华文中宋"/>
                      <w:sz w:val="18"/>
                      <w:szCs w:val="18"/>
                      <w:highlight w:val="none"/>
                    </w:rPr>
                    <w:t>RPM</w:t>
                  </w:r>
                  <w:r>
                    <w:rPr>
                      <w:rFonts w:hint="eastAsia" w:ascii="华文中宋" w:hAnsi="华文中宋" w:eastAsia="华文中宋" w:cs="华文中宋"/>
                      <w:sz w:val="21"/>
                      <w:szCs w:val="21"/>
                      <w:highlight w:val="none"/>
                      <w:lang w:eastAsia="zh-CN"/>
                    </w:rPr>
                    <w:t>，</w:t>
                  </w:r>
                  <w:r>
                    <w:rPr>
                      <w:rFonts w:hint="eastAsia" w:ascii="华文中宋" w:hAnsi="华文中宋" w:eastAsia="华文中宋" w:cs="华文中宋"/>
                      <w:sz w:val="21"/>
                      <w:szCs w:val="21"/>
                      <w:highlight w:val="none"/>
                      <w:lang w:val="en-US" w:eastAsia="zh-CN"/>
                    </w:rPr>
                    <w:t>能</w:t>
                  </w:r>
                  <w:r>
                    <w:rPr>
                      <w:rFonts w:hint="eastAsia" w:ascii="华文中宋" w:hAnsi="华文中宋" w:eastAsia="华文中宋" w:cs="华文中宋"/>
                      <w:sz w:val="21"/>
                      <w:szCs w:val="21"/>
                      <w:highlight w:val="none"/>
                      <w:lang w:eastAsia="zh-CN"/>
                    </w:rPr>
                    <w:t>配备3/8泵头及1/4泵头，满足各种治疗需要</w:t>
                  </w:r>
                </w:p>
              </w:tc>
            </w:tr>
            <w:tr w14:paraId="2F84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CDF9CDE">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6</w:t>
                  </w:r>
                </w:p>
              </w:tc>
              <w:tc>
                <w:tcPr>
                  <w:tcW w:w="6292" w:type="dxa"/>
                  <w:shd w:val="clear" w:color="auto" w:fill="FDE9D9" w:themeFill="accent6" w:themeFillTint="33"/>
                  <w:vAlign w:val="center"/>
                </w:tcPr>
                <w:p w14:paraId="7AA47FB4">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sz w:val="20"/>
                      <w:szCs w:val="20"/>
                    </w:rPr>
                  </w:pPr>
                  <w:r>
                    <w:rPr>
                      <w:rFonts w:hint="eastAsia" w:ascii="华文中宋" w:hAnsi="华文中宋" w:eastAsia="华文中宋" w:cs="华文中宋"/>
                      <w:sz w:val="21"/>
                      <w:szCs w:val="21"/>
                      <w:highlight w:val="none"/>
                    </w:rPr>
                    <w:t>泵头最大进出口压差≤580mmHg。</w:t>
                  </w:r>
                </w:p>
              </w:tc>
            </w:tr>
            <w:tr w14:paraId="4349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852CDE9">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7</w:t>
                  </w:r>
                </w:p>
              </w:tc>
              <w:tc>
                <w:tcPr>
                  <w:tcW w:w="6292" w:type="dxa"/>
                  <w:shd w:val="clear" w:color="auto" w:fill="FDE9D9" w:themeFill="accent6" w:themeFillTint="33"/>
                  <w:vAlign w:val="center"/>
                </w:tcPr>
                <w:p w14:paraId="3101AFD7">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流量显示范围：0—8LPM。</w:t>
                  </w:r>
                </w:p>
              </w:tc>
            </w:tr>
            <w:tr w14:paraId="1E15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5616096">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8</w:t>
                  </w:r>
                </w:p>
              </w:tc>
              <w:tc>
                <w:tcPr>
                  <w:tcW w:w="6292" w:type="dxa"/>
                  <w:shd w:val="clear" w:color="auto" w:fill="FDE9D9" w:themeFill="accent6" w:themeFillTint="33"/>
                  <w:vAlign w:val="center"/>
                </w:tcPr>
                <w:p w14:paraId="2CA55A45">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lang w:val="en-US" w:eastAsia="zh-CN"/>
                    </w:rPr>
                    <w:t>具有通路中的压力报警</w:t>
                  </w:r>
                  <w:r>
                    <w:rPr>
                      <w:rFonts w:hint="eastAsia" w:ascii="华文中宋" w:hAnsi="华文中宋" w:eastAsia="华文中宋" w:cs="华文中宋"/>
                      <w:b w:val="0"/>
                      <w:color w:val="000000"/>
                      <w:sz w:val="21"/>
                      <w:szCs w:val="21"/>
                    </w:rPr>
                    <w:t>。</w:t>
                  </w:r>
                </w:p>
              </w:tc>
            </w:tr>
            <w:tr w14:paraId="505E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2F6A97D">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9</w:t>
                  </w:r>
                </w:p>
              </w:tc>
              <w:tc>
                <w:tcPr>
                  <w:tcW w:w="6292" w:type="dxa"/>
                  <w:shd w:val="clear" w:color="auto" w:fill="FDE9D9" w:themeFill="accent6" w:themeFillTint="33"/>
                  <w:vAlign w:val="center"/>
                </w:tcPr>
                <w:p w14:paraId="64BD806B">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气泡监测报警，非接触式设计。</w:t>
                  </w:r>
                </w:p>
              </w:tc>
            </w:tr>
            <w:tr w14:paraId="06C5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8110C97">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10</w:t>
                  </w:r>
                </w:p>
              </w:tc>
              <w:tc>
                <w:tcPr>
                  <w:tcW w:w="6292" w:type="dxa"/>
                  <w:shd w:val="clear" w:color="auto" w:fill="FDE9D9" w:themeFill="accent6" w:themeFillTint="33"/>
                  <w:vAlign w:val="center"/>
                </w:tcPr>
                <w:p w14:paraId="03F3867F">
                  <w:pPr>
                    <w:keepNext w:val="0"/>
                    <w:keepLines w:val="0"/>
                    <w:pageBreakBefore w:val="0"/>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b w:val="0"/>
                      <w:color w:val="000000"/>
                      <w:sz w:val="21"/>
                      <w:szCs w:val="21"/>
                    </w:rPr>
                    <w:t>具备零流量模式</w:t>
                  </w:r>
                  <w:r>
                    <w:rPr>
                      <w:rFonts w:hint="eastAsia" w:ascii="华文中宋" w:hAnsi="华文中宋" w:eastAsia="华文中宋" w:cs="华文中宋"/>
                      <w:b w:val="0"/>
                      <w:color w:val="000000"/>
                      <w:sz w:val="21"/>
                      <w:szCs w:val="21"/>
                      <w:lang w:eastAsia="zh-CN"/>
                    </w:rPr>
                    <w:t>：</w:t>
                  </w:r>
                  <w:r>
                    <w:rPr>
                      <w:rFonts w:hint="eastAsia" w:ascii="华文中宋" w:hAnsi="华文中宋" w:eastAsia="华文中宋" w:cs="华文中宋"/>
                      <w:b w:val="0"/>
                      <w:color w:val="000000"/>
                      <w:sz w:val="21"/>
                      <w:szCs w:val="21"/>
                    </w:rPr>
                    <w:t>发现气泡时血流降至0L/min，驱动泵形成一个对抗流速</w:t>
                  </w:r>
                  <w:r>
                    <w:rPr>
                      <w:rFonts w:hint="eastAsia" w:ascii="华文中宋" w:hAnsi="华文中宋" w:eastAsia="华文中宋" w:cs="华文中宋"/>
                      <w:b w:val="0"/>
                      <w:color w:val="000000"/>
                      <w:sz w:val="21"/>
                      <w:szCs w:val="21"/>
                      <w:lang w:eastAsia="zh-CN"/>
                    </w:rPr>
                    <w:t>，</w:t>
                  </w:r>
                  <w:r>
                    <w:rPr>
                      <w:rFonts w:hint="eastAsia" w:ascii="华文中宋" w:hAnsi="华文中宋" w:eastAsia="华文中宋" w:cs="华文中宋"/>
                      <w:b w:val="0"/>
                      <w:color w:val="000000"/>
                      <w:sz w:val="21"/>
                      <w:szCs w:val="21"/>
                    </w:rPr>
                    <w:t>防止治疗中停泵返流</w:t>
                  </w:r>
                  <w:r>
                    <w:rPr>
                      <w:rFonts w:hint="eastAsia" w:ascii="华文中宋" w:hAnsi="华文中宋" w:eastAsia="华文中宋" w:cs="华文中宋"/>
                      <w:b w:val="0"/>
                      <w:color w:val="000000"/>
                      <w:sz w:val="21"/>
                      <w:szCs w:val="21"/>
                      <w:lang w:val="en-US" w:eastAsia="zh-CN"/>
                    </w:rPr>
                    <w:t>.</w:t>
                  </w:r>
                </w:p>
              </w:tc>
            </w:tr>
            <w:tr w14:paraId="2289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42AE471">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11</w:t>
                  </w:r>
                </w:p>
              </w:tc>
              <w:tc>
                <w:tcPr>
                  <w:tcW w:w="6292" w:type="dxa"/>
                  <w:shd w:val="clear" w:color="auto" w:fill="FDE9D9" w:themeFill="accent6" w:themeFillTint="33"/>
                  <w:vAlign w:val="center"/>
                </w:tcPr>
                <w:p w14:paraId="33C314BA">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b w:val="0"/>
                      <w:color w:val="auto"/>
                      <w:sz w:val="21"/>
                      <w:szCs w:val="21"/>
                    </w:rPr>
                    <w:t>P1（泵前）压力限制功能：当压力达到设定安全值，泵速</w:t>
                  </w:r>
                  <w:r>
                    <w:rPr>
                      <w:rFonts w:hint="eastAsia" w:ascii="华文中宋" w:hAnsi="华文中宋" w:eastAsia="华文中宋" w:cs="华文中宋"/>
                      <w:b w:val="0"/>
                      <w:color w:val="auto"/>
                      <w:sz w:val="21"/>
                      <w:szCs w:val="21"/>
                      <w:lang w:val="en-US"/>
                    </w:rPr>
                    <w:t>可</w:t>
                  </w:r>
                  <w:r>
                    <w:rPr>
                      <w:rFonts w:hint="eastAsia" w:ascii="华文中宋" w:hAnsi="华文中宋" w:eastAsia="华文中宋" w:cs="华文中宋"/>
                      <w:b w:val="0"/>
                      <w:color w:val="auto"/>
                      <w:sz w:val="21"/>
                      <w:szCs w:val="21"/>
                    </w:rPr>
                    <w:t>自动降低，避免溶血发生。</w:t>
                  </w:r>
                </w:p>
              </w:tc>
            </w:tr>
            <w:tr w14:paraId="5960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EA483D0">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12</w:t>
                  </w:r>
                </w:p>
              </w:tc>
              <w:tc>
                <w:tcPr>
                  <w:tcW w:w="6292" w:type="dxa"/>
                  <w:shd w:val="clear" w:color="auto" w:fill="FDE9D9" w:themeFill="accent6" w:themeFillTint="33"/>
                  <w:vAlign w:val="center"/>
                </w:tcPr>
                <w:p w14:paraId="033137EC">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highlight w:val="none"/>
                      <w:lang w:eastAsia="zh-CN"/>
                    </w:rPr>
                    <w:t>氧合器</w:t>
                  </w:r>
                  <w:r>
                    <w:rPr>
                      <w:rFonts w:hint="eastAsia" w:ascii="华文中宋" w:hAnsi="华文中宋" w:eastAsia="华文中宋" w:cs="华文中宋"/>
                      <w:sz w:val="21"/>
                      <w:szCs w:val="21"/>
                      <w:highlight w:val="none"/>
                    </w:rPr>
                    <w:t>表面积≥180cm²</w:t>
                  </w:r>
                </w:p>
              </w:tc>
            </w:tr>
            <w:tr w14:paraId="7A37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0F04F0E">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13</w:t>
                  </w:r>
                </w:p>
              </w:tc>
              <w:tc>
                <w:tcPr>
                  <w:tcW w:w="6292" w:type="dxa"/>
                  <w:shd w:val="clear" w:color="auto" w:fill="FDE9D9" w:themeFill="accent6" w:themeFillTint="33"/>
                  <w:vAlign w:val="center"/>
                </w:tcPr>
                <w:p w14:paraId="4983F273">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sz w:val="21"/>
                      <w:szCs w:val="21"/>
                      <w:highlight w:val="none"/>
                    </w:rPr>
                    <w:t>泵头预冲量≤2</w:t>
                  </w:r>
                  <w:r>
                    <w:rPr>
                      <w:rFonts w:hint="eastAsia" w:ascii="华文中宋" w:hAnsi="华文中宋" w:eastAsia="华文中宋" w:cs="华文中宋"/>
                      <w:sz w:val="21"/>
                      <w:szCs w:val="21"/>
                      <w:highlight w:val="none"/>
                      <w:lang w:val="en-US" w:eastAsia="zh-CN"/>
                    </w:rPr>
                    <w:t>0</w:t>
                  </w:r>
                  <w:r>
                    <w:rPr>
                      <w:rFonts w:hint="eastAsia" w:ascii="华文中宋" w:hAnsi="华文中宋" w:eastAsia="华文中宋" w:cs="华文中宋"/>
                      <w:sz w:val="21"/>
                      <w:szCs w:val="21"/>
                      <w:highlight w:val="none"/>
                    </w:rPr>
                    <w:t>ml。（提供技术证明文件）</w:t>
                  </w:r>
                </w:p>
              </w:tc>
            </w:tr>
            <w:tr w14:paraId="1EB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6E80F56">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14</w:t>
                  </w:r>
                </w:p>
              </w:tc>
              <w:tc>
                <w:tcPr>
                  <w:tcW w:w="6292" w:type="dxa"/>
                  <w:shd w:val="clear" w:color="auto" w:fill="FDE9D9" w:themeFill="accent6" w:themeFillTint="33"/>
                  <w:vAlign w:val="center"/>
                </w:tcPr>
                <w:p w14:paraId="3E6564A8">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泵头与主机可分离,可直接连</w:t>
                  </w:r>
                  <w:r>
                    <w:rPr>
                      <w:rFonts w:hint="eastAsia" w:ascii="华文中宋" w:hAnsi="华文中宋" w:eastAsia="华文中宋" w:cs="华文中宋"/>
                      <w:sz w:val="21"/>
                      <w:szCs w:val="21"/>
                      <w:lang w:val="en-US" w:eastAsia="zh-CN"/>
                    </w:rPr>
                    <w:t>接</w:t>
                  </w:r>
                  <w:r>
                    <w:rPr>
                      <w:rFonts w:hint="eastAsia" w:ascii="华文中宋" w:hAnsi="华文中宋" w:eastAsia="华文中宋" w:cs="华文中宋"/>
                      <w:sz w:val="21"/>
                      <w:szCs w:val="21"/>
                    </w:rPr>
                    <w:t>电池</w:t>
                  </w:r>
                  <w:r>
                    <w:rPr>
                      <w:rFonts w:hint="eastAsia" w:ascii="华文中宋" w:hAnsi="华文中宋" w:eastAsia="华文中宋" w:cs="华文中宋"/>
                      <w:sz w:val="21"/>
                      <w:szCs w:val="21"/>
                      <w:lang w:val="en-US" w:eastAsia="zh-CN"/>
                    </w:rPr>
                    <w:t>独立</w:t>
                  </w:r>
                  <w:r>
                    <w:rPr>
                      <w:rFonts w:hint="eastAsia" w:ascii="华文中宋" w:hAnsi="华文中宋" w:eastAsia="华文中宋" w:cs="华文中宋"/>
                      <w:sz w:val="21"/>
                      <w:szCs w:val="21"/>
                    </w:rPr>
                    <w:t>使用。</w:t>
                  </w:r>
                </w:p>
              </w:tc>
            </w:tr>
            <w:tr w14:paraId="1387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2E538DC">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15</w:t>
                  </w:r>
                </w:p>
              </w:tc>
              <w:tc>
                <w:tcPr>
                  <w:tcW w:w="6292" w:type="dxa"/>
                  <w:shd w:val="clear" w:color="auto" w:fill="FDE9D9" w:themeFill="accent6" w:themeFillTint="33"/>
                  <w:vAlign w:val="center"/>
                </w:tcPr>
                <w:p w14:paraId="24FCD8E1">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sz w:val="21"/>
                      <w:szCs w:val="21"/>
                    </w:rPr>
                    <w:t>配备不少于2个电动驱动泵，主驱动泵故障时，可采用另一个驱动泵操作</w:t>
                  </w:r>
                </w:p>
              </w:tc>
            </w:tr>
            <w:tr w14:paraId="6D4E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16FD7A6">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16</w:t>
                  </w:r>
                </w:p>
              </w:tc>
              <w:tc>
                <w:tcPr>
                  <w:tcW w:w="6292" w:type="dxa"/>
                  <w:shd w:val="clear" w:color="auto" w:fill="FDE9D9" w:themeFill="accent6" w:themeFillTint="33"/>
                  <w:vAlign w:val="center"/>
                </w:tcPr>
                <w:p w14:paraId="2A9C173A">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sz w:val="21"/>
                      <w:szCs w:val="21"/>
                    </w:rPr>
                    <w:t>在5.5 L/min，6500 rpm治疗参数下</w:t>
                  </w:r>
                  <w:r>
                    <w:rPr>
                      <w:rFonts w:hint="eastAsia" w:ascii="华文中宋" w:hAnsi="华文中宋" w:eastAsia="华文中宋" w:cs="华文中宋"/>
                      <w:sz w:val="21"/>
                      <w:szCs w:val="21"/>
                      <w:lang w:val="en-US" w:eastAsia="zh-CN"/>
                    </w:rPr>
                    <w:t>,</w:t>
                  </w:r>
                  <w:r>
                    <w:rPr>
                      <w:rFonts w:hint="eastAsia" w:ascii="华文中宋" w:hAnsi="华文中宋" w:eastAsia="华文中宋" w:cs="华文中宋"/>
                      <w:sz w:val="21"/>
                      <w:szCs w:val="21"/>
                    </w:rPr>
                    <w:t>电池可支持运行时间≥</w:t>
                  </w:r>
                  <w:r>
                    <w:rPr>
                      <w:rFonts w:hint="eastAsia" w:ascii="华文中宋" w:hAnsi="华文中宋" w:eastAsia="华文中宋" w:cs="华文中宋"/>
                      <w:sz w:val="21"/>
                      <w:szCs w:val="21"/>
                      <w:lang w:val="en-US" w:eastAsia="zh-CN"/>
                    </w:rPr>
                    <w:t>1</w:t>
                  </w:r>
                  <w:r>
                    <w:rPr>
                      <w:rFonts w:hint="eastAsia" w:ascii="华文中宋" w:hAnsi="华文中宋" w:eastAsia="华文中宋" w:cs="华文中宋"/>
                      <w:sz w:val="21"/>
                      <w:szCs w:val="21"/>
                    </w:rPr>
                    <w:t>20 min，可快速拆卸。</w:t>
                  </w:r>
                </w:p>
              </w:tc>
            </w:tr>
            <w:tr w14:paraId="311E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1E8FC81">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17</w:t>
                  </w:r>
                </w:p>
              </w:tc>
              <w:tc>
                <w:tcPr>
                  <w:tcW w:w="6292" w:type="dxa"/>
                  <w:shd w:val="clear" w:color="auto" w:fill="FDE9D9" w:themeFill="accent6" w:themeFillTint="33"/>
                  <w:vAlign w:val="center"/>
                </w:tcPr>
                <w:p w14:paraId="7C64803D">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b w:val="0"/>
                      <w:color w:val="000000"/>
                      <w:sz w:val="21"/>
                      <w:szCs w:val="21"/>
                    </w:rPr>
                    <w:t>流量控制功能：如果流量偏离设定值，系统</w:t>
                  </w:r>
                  <w:r>
                    <w:rPr>
                      <w:rFonts w:hint="eastAsia" w:ascii="华文中宋" w:hAnsi="华文中宋" w:eastAsia="华文中宋" w:cs="华文中宋"/>
                      <w:b w:val="0"/>
                      <w:color w:val="000000"/>
                      <w:sz w:val="21"/>
                      <w:szCs w:val="21"/>
                      <w:lang w:val="en-US"/>
                    </w:rPr>
                    <w:t>可</w:t>
                  </w:r>
                  <w:r>
                    <w:rPr>
                      <w:rFonts w:hint="eastAsia" w:ascii="华文中宋" w:hAnsi="华文中宋" w:eastAsia="华文中宋" w:cs="华文中宋"/>
                      <w:b w:val="0"/>
                      <w:color w:val="000000"/>
                      <w:sz w:val="21"/>
                      <w:szCs w:val="21"/>
                    </w:rPr>
                    <w:t>自动调整泵速，确保设定流量达成。</w:t>
                  </w:r>
                </w:p>
              </w:tc>
            </w:tr>
            <w:tr w14:paraId="79E1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2C1F7F5">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18</w:t>
                  </w:r>
                </w:p>
              </w:tc>
              <w:tc>
                <w:tcPr>
                  <w:tcW w:w="6292" w:type="dxa"/>
                  <w:shd w:val="clear" w:color="auto" w:fill="FDE9D9" w:themeFill="accent6" w:themeFillTint="33"/>
                  <w:vAlign w:val="center"/>
                </w:tcPr>
                <w:p w14:paraId="26CBA933">
                  <w:pPr>
                    <w:keepNext w:val="0"/>
                    <w:keepLines w:val="0"/>
                    <w:pageBreakBefore w:val="0"/>
                    <w:widowControl w:val="0"/>
                    <w:tabs>
                      <w:tab w:val="left" w:pos="477"/>
                    </w:tabs>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设备类型：CF级别。</w:t>
                  </w:r>
                </w:p>
              </w:tc>
            </w:tr>
            <w:tr w14:paraId="23E0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8230943">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19</w:t>
                  </w:r>
                </w:p>
              </w:tc>
              <w:tc>
                <w:tcPr>
                  <w:tcW w:w="6292" w:type="dxa"/>
                  <w:shd w:val="clear" w:color="auto" w:fill="FDE9D9" w:themeFill="accent6" w:themeFillTint="33"/>
                  <w:vAlign w:val="center"/>
                </w:tcPr>
                <w:p w14:paraId="2C385EFE">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highlight w:val="none"/>
                    </w:rPr>
                    <w:t>数据传输：USB接口。</w:t>
                  </w:r>
                </w:p>
              </w:tc>
            </w:tr>
            <w:tr w14:paraId="0FA3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FABB7BD">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20</w:t>
                  </w:r>
                </w:p>
              </w:tc>
              <w:tc>
                <w:tcPr>
                  <w:tcW w:w="6292" w:type="dxa"/>
                  <w:shd w:val="clear" w:color="auto" w:fill="FDE9D9" w:themeFill="accent6" w:themeFillTint="33"/>
                  <w:vAlign w:val="center"/>
                </w:tcPr>
                <w:p w14:paraId="73597889">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lang w:val="en-US" w:eastAsia="zh-CN"/>
                    </w:rPr>
                    <w:t>设备使用年限≥8年。</w:t>
                  </w:r>
                </w:p>
              </w:tc>
            </w:tr>
            <w:tr w14:paraId="778F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290D56B">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二</w:t>
                  </w:r>
                </w:p>
              </w:tc>
              <w:tc>
                <w:tcPr>
                  <w:tcW w:w="6292" w:type="dxa"/>
                  <w:shd w:val="clear" w:color="auto" w:fill="FDE9D9" w:themeFill="accent6" w:themeFillTint="33"/>
                  <w:vAlign w:val="center"/>
                </w:tcPr>
                <w:p w14:paraId="11A6A001">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宋体" w:hAnsi="宋体" w:eastAsia="宋体" w:cs="宋体"/>
                      <w:color w:val="FF0000"/>
                      <w:sz w:val="21"/>
                      <w:szCs w:val="21"/>
                    </w:rPr>
                    <w:t>临床应用参数</w:t>
                  </w:r>
                </w:p>
              </w:tc>
            </w:tr>
            <w:tr w14:paraId="500D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2F35203">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21</w:t>
                  </w:r>
                </w:p>
              </w:tc>
              <w:tc>
                <w:tcPr>
                  <w:tcW w:w="6292" w:type="dxa"/>
                  <w:shd w:val="clear" w:color="auto" w:fill="FDE9D9" w:themeFill="accent6" w:themeFillTint="33"/>
                  <w:vAlign w:val="center"/>
                </w:tcPr>
                <w:p w14:paraId="618F90C7">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至少具备流量监测、压力监测、气泡监测及温度监测。</w:t>
                  </w:r>
                </w:p>
              </w:tc>
            </w:tr>
            <w:tr w14:paraId="4269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AC3C84F">
                  <w:pPr>
                    <w:spacing w:line="360" w:lineRule="auto"/>
                    <w:jc w:val="center"/>
                    <w:rPr>
                      <w:rFonts w:hint="eastAsia"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22</w:t>
                  </w:r>
                </w:p>
              </w:tc>
              <w:tc>
                <w:tcPr>
                  <w:tcW w:w="6292" w:type="dxa"/>
                  <w:shd w:val="clear" w:color="auto" w:fill="FDE9D9" w:themeFill="accent6" w:themeFillTint="33"/>
                  <w:vAlign w:val="center"/>
                </w:tcPr>
                <w:p w14:paraId="1FADBF50">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≥1组流量监测（-2至+8 LPM）。</w:t>
                  </w:r>
                </w:p>
              </w:tc>
            </w:tr>
            <w:tr w14:paraId="3D0D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0E00298">
                  <w:pPr>
                    <w:spacing w:line="360" w:lineRule="auto"/>
                    <w:jc w:val="center"/>
                    <w:rPr>
                      <w:rFonts w:hint="eastAsia"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23</w:t>
                  </w:r>
                </w:p>
              </w:tc>
              <w:tc>
                <w:tcPr>
                  <w:tcW w:w="6292" w:type="dxa"/>
                  <w:shd w:val="clear" w:color="auto" w:fill="FDE9D9" w:themeFill="accent6" w:themeFillTint="33"/>
                  <w:vAlign w:val="center"/>
                </w:tcPr>
                <w:p w14:paraId="21023771">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sz w:val="21"/>
                      <w:szCs w:val="21"/>
                    </w:rPr>
                    <w:t>≥4组压力监测（-400至+400mmHg）。</w:t>
                  </w:r>
                </w:p>
              </w:tc>
            </w:tr>
            <w:tr w14:paraId="4DF1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B5187C0">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24</w:t>
                  </w:r>
                </w:p>
              </w:tc>
              <w:tc>
                <w:tcPr>
                  <w:tcW w:w="6292" w:type="dxa"/>
                  <w:shd w:val="clear" w:color="auto" w:fill="FDE9D9" w:themeFill="accent6" w:themeFillTint="33"/>
                  <w:vAlign w:val="center"/>
                </w:tcPr>
                <w:p w14:paraId="289DCF5E">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ascii="仿宋" w:hAnsi="仿宋" w:eastAsia="仿宋" w:cs="仿宋"/>
                      <w:b w:val="0"/>
                      <w:sz w:val="21"/>
                      <w:szCs w:val="21"/>
                    </w:rPr>
                  </w:pPr>
                  <w:r>
                    <w:rPr>
                      <w:rFonts w:hint="eastAsia" w:ascii="华文中宋" w:hAnsi="华文中宋" w:eastAsia="华文中宋" w:cs="华文中宋"/>
                      <w:sz w:val="21"/>
                      <w:szCs w:val="21"/>
                    </w:rPr>
                    <w:t>≥1组气泡监测。</w:t>
                  </w:r>
                </w:p>
                <w:p w14:paraId="6DF295DF">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p>
              </w:tc>
            </w:tr>
            <w:tr w14:paraId="51ED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3C028E2">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25</w:t>
                  </w:r>
                </w:p>
              </w:tc>
              <w:tc>
                <w:tcPr>
                  <w:tcW w:w="6292" w:type="dxa"/>
                  <w:shd w:val="clear" w:color="auto" w:fill="FDE9D9" w:themeFill="accent6" w:themeFillTint="33"/>
                  <w:vAlign w:val="center"/>
                </w:tcPr>
                <w:p w14:paraId="4297033D">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≥2组温度监测（+10至+45℃）</w:t>
                  </w:r>
                </w:p>
              </w:tc>
            </w:tr>
            <w:tr w14:paraId="07B8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36007E0">
                  <w:pPr>
                    <w:spacing w:line="360" w:lineRule="auto"/>
                    <w:jc w:val="center"/>
                    <w:rPr>
                      <w:rFonts w:hint="default" w:ascii="宋体" w:hAnsi="宋体" w:eastAsia="宋体" w:cs="宋体"/>
                      <w:b w:val="0"/>
                      <w:bCs/>
                      <w:kern w:val="0"/>
                      <w:sz w:val="20"/>
                      <w:szCs w:val="20"/>
                      <w:lang w:val="en-US" w:eastAsia="zh-CN"/>
                    </w:rPr>
                  </w:pPr>
                  <w:r>
                    <w:rPr>
                      <w:rFonts w:hint="eastAsia" w:ascii="宋体" w:hAnsi="宋体" w:eastAsia="宋体" w:cs="宋体"/>
                      <w:b w:val="0"/>
                      <w:bCs/>
                      <w:kern w:val="0"/>
                      <w:sz w:val="20"/>
                      <w:szCs w:val="20"/>
                      <w:lang w:val="en-US" w:eastAsia="zh-CN"/>
                    </w:rPr>
                    <w:t>26</w:t>
                  </w:r>
                </w:p>
              </w:tc>
              <w:tc>
                <w:tcPr>
                  <w:tcW w:w="6292" w:type="dxa"/>
                  <w:shd w:val="clear" w:color="auto" w:fill="FDE9D9" w:themeFill="accent6" w:themeFillTint="33"/>
                  <w:vAlign w:val="center"/>
                </w:tcPr>
                <w:p w14:paraId="0CA800C1">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rFonts w:hint="eastAsia" w:ascii="华文中宋" w:hAnsi="华文中宋" w:eastAsia="华文中宋" w:cs="华文中宋"/>
                      <w:sz w:val="21"/>
                      <w:szCs w:val="21"/>
                    </w:rPr>
                    <w:t>≥1组泵功率监测。</w:t>
                  </w:r>
                </w:p>
              </w:tc>
            </w:tr>
            <w:tr w14:paraId="168E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8AFF952">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27</w:t>
                  </w:r>
                </w:p>
              </w:tc>
              <w:tc>
                <w:tcPr>
                  <w:tcW w:w="6292" w:type="dxa"/>
                  <w:shd w:val="clear" w:color="auto" w:fill="FDE9D9" w:themeFill="accent6" w:themeFillTint="33"/>
                  <w:vAlign w:val="center"/>
                </w:tcPr>
                <w:p w14:paraId="24EC4406">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b w:val="0"/>
                      <w:color w:val="000000"/>
                      <w:sz w:val="21"/>
                      <w:szCs w:val="21"/>
                    </w:rPr>
                    <w:t>采用非接触式设计压力传感器</w:t>
                  </w:r>
                  <w:r>
                    <w:rPr>
                      <w:rFonts w:hint="eastAsia" w:ascii="华文中宋" w:hAnsi="华文中宋" w:eastAsia="华文中宋" w:cs="华文中宋"/>
                      <w:b w:val="0"/>
                      <w:color w:val="000000"/>
                      <w:sz w:val="21"/>
                      <w:szCs w:val="21"/>
                      <w:lang w:eastAsia="zh-CN"/>
                    </w:rPr>
                    <w:t>，</w:t>
                  </w:r>
                  <w:r>
                    <w:rPr>
                      <w:rFonts w:hint="eastAsia" w:ascii="华文中宋" w:hAnsi="华文中宋" w:eastAsia="华文中宋" w:cs="华文中宋"/>
                      <w:b w:val="0"/>
                      <w:color w:val="000000"/>
                      <w:sz w:val="21"/>
                      <w:szCs w:val="21"/>
                    </w:rPr>
                    <w:t>可测定通路中3个的压力P1,P2,P3（泵前、膜前、膜后）减少与血液的接触，减少凝血和感染的发生，也可降低此类接触造成血液成份的破坏</w:t>
                  </w:r>
                </w:p>
              </w:tc>
            </w:tr>
            <w:tr w14:paraId="5540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A415AD6">
                  <w:pPr>
                    <w:spacing w:line="360" w:lineRule="auto"/>
                    <w:jc w:val="center"/>
                    <w:rPr>
                      <w:rFonts w:hint="default" w:ascii="宋体" w:hAnsi="宋体" w:eastAsia="宋体" w:cs="宋体"/>
                      <w:b w:val="0"/>
                      <w:bCs/>
                      <w:kern w:val="0"/>
                      <w:sz w:val="20"/>
                      <w:szCs w:val="20"/>
                      <w:lang w:val="en-US" w:eastAsia="zh-CN"/>
                    </w:rPr>
                  </w:pPr>
                  <w:r>
                    <w:rPr>
                      <w:sz w:val="21"/>
                      <w:szCs w:val="21"/>
                    </w:rPr>
                    <w:t>▲</w:t>
                  </w:r>
                  <w:r>
                    <w:rPr>
                      <w:rFonts w:hint="eastAsia" w:ascii="宋体" w:hAnsi="宋体" w:eastAsia="宋体" w:cs="宋体"/>
                      <w:b w:val="0"/>
                      <w:bCs/>
                      <w:kern w:val="0"/>
                      <w:sz w:val="20"/>
                      <w:szCs w:val="20"/>
                      <w:lang w:val="en-US" w:eastAsia="zh-CN"/>
                    </w:rPr>
                    <w:t>28</w:t>
                  </w:r>
                </w:p>
              </w:tc>
              <w:tc>
                <w:tcPr>
                  <w:tcW w:w="6292" w:type="dxa"/>
                  <w:shd w:val="clear" w:color="auto" w:fill="FDE9D9" w:themeFill="accent6" w:themeFillTint="33"/>
                  <w:vAlign w:val="center"/>
                </w:tcPr>
                <w:p w14:paraId="4A77F905">
                  <w:pPr>
                    <w:pStyle w:val="16"/>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宋体" w:hAnsi="宋体" w:eastAsia="宋体" w:cs="宋体"/>
                      <w:b w:val="0"/>
                      <w:bCs/>
                      <w:kern w:val="0"/>
                      <w:sz w:val="20"/>
                      <w:szCs w:val="20"/>
                    </w:rPr>
                  </w:pPr>
                  <w:r>
                    <w:rPr>
                      <w:sz w:val="21"/>
                      <w:szCs w:val="21"/>
                    </w:rPr>
                    <w:t>▲</w:t>
                  </w:r>
                  <w:r>
                    <w:rPr>
                      <w:rFonts w:hint="eastAsia" w:ascii="华文中宋" w:hAnsi="华文中宋" w:eastAsia="华文中宋" w:cs="华文中宋"/>
                      <w:sz w:val="21"/>
                      <w:szCs w:val="21"/>
                      <w:highlight w:val="none"/>
                      <w:lang w:eastAsia="zh-CN"/>
                    </w:rPr>
                    <w:t>提供</w:t>
                  </w:r>
                  <w:r>
                    <w:rPr>
                      <w:rFonts w:hint="eastAsia" w:ascii="华文中宋" w:hAnsi="华文中宋" w:eastAsia="华文中宋" w:cs="华文中宋"/>
                      <w:sz w:val="21"/>
                      <w:szCs w:val="21"/>
                      <w:highlight w:val="none"/>
                      <w:lang w:val="en-US" w:eastAsia="zh-CN"/>
                    </w:rPr>
                    <w:t>原厂耗材，具备肝素涂层。原厂</w:t>
                  </w:r>
                  <w:r>
                    <w:rPr>
                      <w:rFonts w:hint="eastAsia" w:ascii="华文中宋" w:hAnsi="华文中宋" w:eastAsia="华文中宋" w:cs="华文中宋"/>
                      <w:sz w:val="21"/>
                      <w:szCs w:val="21"/>
                      <w:highlight w:val="none"/>
                    </w:rPr>
                    <w:t>配套一次性膜式氧合器套包能连续使用≥9天</w:t>
                  </w:r>
                </w:p>
              </w:tc>
            </w:tr>
            <w:tr w14:paraId="2EB9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DAE473D">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bidi="ar"/>
                    </w:rPr>
                    <w:t>★三</w:t>
                  </w:r>
                </w:p>
              </w:tc>
              <w:tc>
                <w:tcPr>
                  <w:tcW w:w="6292" w:type="dxa"/>
                  <w:shd w:val="clear" w:color="auto" w:fill="FDE9D9" w:themeFill="accent6" w:themeFillTint="33"/>
                  <w:vAlign w:val="center"/>
                </w:tcPr>
                <w:p w14:paraId="38342B91">
                  <w:pPr>
                    <w:keepNext w:val="0"/>
                    <w:keepLines w:val="0"/>
                    <w:pageBreakBefore w:val="0"/>
                    <w:widowControl w:val="0"/>
                    <w:tabs>
                      <w:tab w:val="left" w:pos="477"/>
                    </w:tabs>
                    <w:kinsoku/>
                    <w:wordWrap/>
                    <w:overflowPunct/>
                    <w:topLinePunct w:val="0"/>
                    <w:autoSpaceDE/>
                    <w:autoSpaceDN/>
                    <w:bidi w:val="0"/>
                    <w:adjustRightInd/>
                    <w:snapToGrid w:val="0"/>
                    <w:spacing w:line="240" w:lineRule="exact"/>
                    <w:textAlignment w:val="auto"/>
                    <w:rPr>
                      <w:rFonts w:hint="eastAsia" w:ascii="宋体" w:hAnsi="宋体" w:eastAsia="宋体" w:cs="宋体"/>
                      <w:b w:val="0"/>
                      <w:bCs/>
                      <w:kern w:val="0"/>
                      <w:sz w:val="20"/>
                      <w:szCs w:val="20"/>
                    </w:rPr>
                  </w:pPr>
                  <w:r>
                    <w:rPr>
                      <w:rFonts w:hint="eastAsia" w:ascii="宋体" w:hAnsi="宋体" w:eastAsia="宋体" w:cs="宋体"/>
                      <w:color w:val="FF0000"/>
                      <w:sz w:val="21"/>
                      <w:szCs w:val="21"/>
                    </w:rPr>
                    <w:t>配置至少包括</w:t>
                  </w:r>
                </w:p>
              </w:tc>
            </w:tr>
            <w:tr w14:paraId="7366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EBA517D">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1</w:t>
                  </w:r>
                </w:p>
              </w:tc>
              <w:tc>
                <w:tcPr>
                  <w:tcW w:w="6292" w:type="dxa"/>
                  <w:shd w:val="clear" w:color="auto" w:fill="FDE9D9" w:themeFill="accent6" w:themeFillTint="33"/>
                  <w:vAlign w:val="center"/>
                </w:tcPr>
                <w:p w14:paraId="77902E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体外心肺支持辅助设备</w:t>
                  </w:r>
                  <w:r>
                    <w:rPr>
                      <w:rFonts w:hint="eastAsia" w:ascii="宋体" w:hAnsi="宋体" w:cs="宋体"/>
                      <w:i w:val="0"/>
                      <w:iCs w:val="0"/>
                      <w:color w:val="000000"/>
                      <w:kern w:val="0"/>
                      <w:sz w:val="21"/>
                      <w:szCs w:val="21"/>
                      <w:u w:val="none"/>
                      <w:lang w:val="en-US" w:eastAsia="zh-CN" w:bidi="ar"/>
                    </w:rPr>
                    <w:t>主机 1台</w:t>
                  </w:r>
                </w:p>
              </w:tc>
            </w:tr>
            <w:tr w14:paraId="202A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934D4B4">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2</w:t>
                  </w:r>
                </w:p>
              </w:tc>
              <w:tc>
                <w:tcPr>
                  <w:tcW w:w="6292" w:type="dxa"/>
                  <w:shd w:val="clear" w:color="auto" w:fill="FDE9D9" w:themeFill="accent6" w:themeFillTint="33"/>
                  <w:vAlign w:val="center"/>
                </w:tcPr>
                <w:p w14:paraId="3A3FD0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泵驱动器 1个</w:t>
                  </w:r>
                </w:p>
              </w:tc>
            </w:tr>
            <w:tr w14:paraId="7BC9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8CCC40A">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3</w:t>
                  </w:r>
                </w:p>
              </w:tc>
              <w:tc>
                <w:tcPr>
                  <w:tcW w:w="6292" w:type="dxa"/>
                  <w:shd w:val="clear" w:color="auto" w:fill="FDE9D9" w:themeFill="accent6" w:themeFillTint="33"/>
                  <w:vAlign w:val="center"/>
                </w:tcPr>
                <w:p w14:paraId="191E4F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紧凑型保持器 1个</w:t>
                  </w:r>
                </w:p>
              </w:tc>
            </w:tr>
            <w:tr w14:paraId="610A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853A81F">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4</w:t>
                  </w:r>
                </w:p>
              </w:tc>
              <w:tc>
                <w:tcPr>
                  <w:tcW w:w="6292" w:type="dxa"/>
                  <w:shd w:val="clear" w:color="auto" w:fill="FDE9D9" w:themeFill="accent6" w:themeFillTint="33"/>
                  <w:vAlign w:val="center"/>
                </w:tcPr>
                <w:p w14:paraId="3F5CB5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传感器盒 1个</w:t>
                  </w:r>
                </w:p>
              </w:tc>
            </w:tr>
            <w:tr w14:paraId="14C8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360A910E">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5</w:t>
                  </w:r>
                </w:p>
              </w:tc>
              <w:tc>
                <w:tcPr>
                  <w:tcW w:w="6292" w:type="dxa"/>
                  <w:shd w:val="clear" w:color="auto" w:fill="FDE9D9" w:themeFill="accent6" w:themeFillTint="33"/>
                  <w:vAlign w:val="center"/>
                </w:tcPr>
                <w:p w14:paraId="40E798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压力传感器 1组</w:t>
                  </w:r>
                </w:p>
              </w:tc>
            </w:tr>
            <w:tr w14:paraId="0291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34E3DBE">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6</w:t>
                  </w:r>
                </w:p>
              </w:tc>
              <w:tc>
                <w:tcPr>
                  <w:tcW w:w="6292" w:type="dxa"/>
                  <w:shd w:val="clear" w:color="auto" w:fill="FDE9D9" w:themeFill="accent6" w:themeFillTint="33"/>
                  <w:vAlign w:val="center"/>
                </w:tcPr>
                <w:p w14:paraId="50AE11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温度传感器 1个</w:t>
                  </w:r>
                </w:p>
              </w:tc>
            </w:tr>
            <w:tr w14:paraId="3E1A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5D4304E">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7</w:t>
                  </w:r>
                </w:p>
              </w:tc>
              <w:tc>
                <w:tcPr>
                  <w:tcW w:w="6292" w:type="dxa"/>
                  <w:shd w:val="clear" w:color="auto" w:fill="FDE9D9" w:themeFill="accent6" w:themeFillTint="33"/>
                  <w:vAlign w:val="center"/>
                </w:tcPr>
                <w:p w14:paraId="718D62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流量传感器 1个</w:t>
                  </w:r>
                </w:p>
              </w:tc>
            </w:tr>
            <w:tr w14:paraId="5FC2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16F87AA">
                  <w:pPr>
                    <w:keepNext w:val="0"/>
                    <w:keepLines w:val="0"/>
                    <w:pageBreakBefore w:val="0"/>
                    <w:widowControl/>
                    <w:kinsoku/>
                    <w:wordWrap/>
                    <w:overflowPunct/>
                    <w:topLinePunct w:val="0"/>
                    <w:autoSpaceDE/>
                    <w:autoSpaceDN/>
                    <w:bidi w:val="0"/>
                    <w:adjustRightInd/>
                    <w:spacing w:line="240" w:lineRule="exact"/>
                    <w:jc w:val="center"/>
                    <w:textAlignment w:val="center"/>
                    <w:rPr>
                      <w:rFonts w:hint="eastAsia" w:ascii="宋体" w:hAnsi="宋体" w:eastAsia="宋体" w:cs="宋体"/>
                      <w:b w:val="0"/>
                      <w:bCs/>
                      <w:kern w:val="0"/>
                      <w:sz w:val="20"/>
                      <w:szCs w:val="20"/>
                    </w:rPr>
                  </w:pPr>
                  <w:r>
                    <w:rPr>
                      <w:rFonts w:hint="eastAsia" w:ascii="宋体" w:hAnsi="宋体" w:eastAsia="宋体" w:cs="宋体"/>
                      <w:color w:val="000000"/>
                      <w:kern w:val="0"/>
                      <w:sz w:val="21"/>
                      <w:szCs w:val="21"/>
                      <w:lang w:val="en-US" w:eastAsia="zh-CN" w:bidi="ar"/>
                    </w:rPr>
                    <w:t>8</w:t>
                  </w:r>
                </w:p>
              </w:tc>
              <w:tc>
                <w:tcPr>
                  <w:tcW w:w="6292" w:type="dxa"/>
                  <w:shd w:val="clear" w:color="auto" w:fill="FDE9D9" w:themeFill="accent6" w:themeFillTint="33"/>
                  <w:vAlign w:val="center"/>
                </w:tcPr>
                <w:p w14:paraId="28FCB5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kern w:val="0"/>
                      <w:sz w:val="20"/>
                      <w:szCs w:val="20"/>
                    </w:rPr>
                  </w:pPr>
                  <w:r>
                    <w:rPr>
                      <w:rFonts w:hint="eastAsia" w:ascii="宋体" w:hAnsi="宋体" w:eastAsia="宋体" w:cs="宋体"/>
                      <w:i w:val="0"/>
                      <w:iCs w:val="0"/>
                      <w:color w:val="000000"/>
                      <w:kern w:val="0"/>
                      <w:sz w:val="21"/>
                      <w:szCs w:val="21"/>
                      <w:u w:val="none"/>
                      <w:lang w:val="en-US" w:eastAsia="zh-CN" w:bidi="ar"/>
                    </w:rPr>
                    <w:t>驾车 1个</w:t>
                  </w:r>
                </w:p>
              </w:tc>
            </w:tr>
          </w:tbl>
          <w:p w14:paraId="0DBAEE1E">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1159A89"/>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8"/>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E54E165-56AE-4558-94C0-2AFA1638B2E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07FF16E-5CF0-4BDC-95DF-6962BF1C0CBF}"/>
  </w:font>
  <w:font w:name="华文中宋">
    <w:panose1 w:val="02010600040101010101"/>
    <w:charset w:val="86"/>
    <w:family w:val="auto"/>
    <w:pitch w:val="default"/>
    <w:sig w:usb0="00000287" w:usb1="080F0000" w:usb2="00000000" w:usb3="00000000" w:csb0="0004009F" w:csb1="DFD70000"/>
    <w:embedRegular r:id="rId3" w:fontKey="{9A8BAB7B-A501-4259-A0A6-4DED50F3B960}"/>
  </w:font>
  <w:font w:name="仿宋">
    <w:panose1 w:val="02010609060101010101"/>
    <w:charset w:val="86"/>
    <w:family w:val="modern"/>
    <w:pitch w:val="default"/>
    <w:sig w:usb0="800002BF" w:usb1="38CF7CFA" w:usb2="00000016" w:usb3="00000000" w:csb0="00040001" w:csb1="00000000"/>
    <w:embedRegular r:id="rId4" w:fontKey="{BF5A77D0-AF4E-4143-9F2C-14707A368B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147505A8"/>
    <w:rsid w:val="157C3CEB"/>
    <w:rsid w:val="1D647D16"/>
    <w:rsid w:val="1FD931F4"/>
    <w:rsid w:val="221C5F15"/>
    <w:rsid w:val="292A6617"/>
    <w:rsid w:val="368A6554"/>
    <w:rsid w:val="39047C75"/>
    <w:rsid w:val="3AE63ED1"/>
    <w:rsid w:val="4FCA0B10"/>
    <w:rsid w:val="502B7D9A"/>
    <w:rsid w:val="59865635"/>
    <w:rsid w:val="73A70454"/>
    <w:rsid w:val="76A02F8E"/>
    <w:rsid w:val="78D97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3"/>
    <w:semiHidden/>
    <w:unhideWhenUsed/>
    <w:uiPriority w:val="99"/>
    <w:pPr>
      <w:spacing w:after="120"/>
      <w:ind w:left="420" w:leftChars="200"/>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Body Text First Indent 2"/>
    <w:basedOn w:val="2"/>
    <w:link w:val="14"/>
    <w:unhideWhenUsed/>
    <w:qFormat/>
    <w:uiPriority w:val="99"/>
    <w:pPr>
      <w:ind w:firstLine="420" w:firstLineChars="200"/>
    </w:pPr>
  </w:style>
  <w:style w:type="table" w:styleId="9">
    <w:name w:val="Table Grid"/>
    <w:basedOn w:val="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Char"/>
    <w:basedOn w:val="10"/>
    <w:link w:val="5"/>
    <w:qFormat/>
    <w:uiPriority w:val="99"/>
    <w:rPr>
      <w:sz w:val="18"/>
      <w:szCs w:val="18"/>
    </w:rPr>
  </w:style>
  <w:style w:type="character" w:customStyle="1" w:styleId="12">
    <w:name w:val="页脚 Char"/>
    <w:basedOn w:val="10"/>
    <w:link w:val="4"/>
    <w:qFormat/>
    <w:uiPriority w:val="99"/>
    <w:rPr>
      <w:sz w:val="18"/>
      <w:szCs w:val="18"/>
    </w:rPr>
  </w:style>
  <w:style w:type="character" w:customStyle="1" w:styleId="13">
    <w:name w:val="正文文本缩进 Char"/>
    <w:basedOn w:val="10"/>
    <w:link w:val="2"/>
    <w:semiHidden/>
    <w:qFormat/>
    <w:uiPriority w:val="99"/>
    <w:rPr>
      <w:szCs w:val="24"/>
    </w:rPr>
  </w:style>
  <w:style w:type="character" w:customStyle="1" w:styleId="14">
    <w:name w:val="正文首行缩进 2 Char"/>
    <w:basedOn w:val="13"/>
    <w:link w:val="7"/>
    <w:qFormat/>
    <w:uiPriority w:val="99"/>
    <w:rPr>
      <w:szCs w:val="24"/>
    </w:rPr>
  </w:style>
  <w:style w:type="character" w:customStyle="1" w:styleId="15">
    <w:name w:val="批注框文本 Char"/>
    <w:basedOn w:val="10"/>
    <w:link w:val="3"/>
    <w:semiHidden/>
    <w:qFormat/>
    <w:uiPriority w:val="99"/>
    <w:rPr>
      <w:sz w:val="18"/>
      <w:szCs w:val="18"/>
    </w:rPr>
  </w:style>
  <w:style w:type="paragraph" w:customStyle="1" w:styleId="16">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3149</Words>
  <Characters>3285</Characters>
  <Lines>22</Lines>
  <Paragraphs>6</Paragraphs>
  <TotalTime>16</TotalTime>
  <ScaleCrop>false</ScaleCrop>
  <LinksUpToDate>false</LinksUpToDate>
  <CharactersWithSpaces>3307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伍卓坚</cp:lastModifiedBy>
  <dcterms:modified xsi:type="dcterms:W3CDTF">2026-09-22T08:35:50Z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CD1DE61AC3E8472680DF732233260128_13</vt:lpwstr>
  </property>
  <property fmtid="{D5CDD505-2E9C-101B-9397-08002B2CF9AE}" pid="4" name="KSOTemplateDocerSaveRecord">
    <vt:lpwstr>eyJoZGlkIjoiMGFkYTIxNGRjNWRjZTg5NWIxMjI1N2QzNWQ4ZTgwYTQiLCJ1c2VySWQiOiIyMjY0NjUzODUifQ==</vt:lpwstr>
  </property>
</Properties>
</file>