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8C14C">
      <w:pPr>
        <w:spacing w:line="360" w:lineRule="auto"/>
        <w:jc w:val="center"/>
      </w:pPr>
      <w:r>
        <w:rPr>
          <w:rFonts w:hint="eastAsia"/>
          <w:b/>
          <w:sz w:val="36"/>
          <w:lang w:val="en-US" w:eastAsia="zh-CN"/>
        </w:rPr>
        <w:t>采购</w:t>
      </w:r>
      <w:r>
        <w:rPr>
          <w:b/>
          <w:sz w:val="36"/>
        </w:rPr>
        <w:t>需求</w:t>
      </w:r>
    </w:p>
    <w:p w14:paraId="102562C0">
      <w:pPr>
        <w:spacing w:line="360" w:lineRule="auto"/>
        <w:rPr>
          <w:b/>
          <w:sz w:val="28"/>
        </w:rPr>
      </w:pPr>
      <w:r>
        <w:rPr>
          <w:b/>
          <w:sz w:val="28"/>
        </w:rPr>
        <w:t>一、项目概况：</w:t>
      </w:r>
    </w:p>
    <w:p w14:paraId="103CE5EF">
      <w:pPr>
        <w:spacing w:line="360" w:lineRule="auto"/>
        <w:ind w:firstLine="420"/>
      </w:pPr>
      <w:r>
        <w:rPr>
          <w:rFonts w:hint="eastAsia"/>
        </w:rPr>
        <w:t>本次采购内容为江门市妇幼保健院</w:t>
      </w:r>
      <w:r>
        <w:rPr>
          <w:rFonts w:hint="eastAsia"/>
          <w:b/>
        </w:rPr>
        <w:t>医疗设备项目院内</w:t>
      </w:r>
      <w:r>
        <w:rPr>
          <w:rFonts w:hint="eastAsia"/>
          <w:b/>
          <w:lang w:val="en-US" w:eastAsia="zh-CN"/>
        </w:rPr>
        <w:t>采购</w:t>
      </w:r>
      <w:r>
        <w:rPr>
          <w:rFonts w:hint="eastAsia"/>
          <w:b/>
        </w:rPr>
        <w:t>项目</w:t>
      </w:r>
      <w:r>
        <w:rPr>
          <w:rFonts w:hint="eastAsia"/>
        </w:rPr>
        <w:t>（具体详见技术要求）。</w:t>
      </w:r>
    </w:p>
    <w:p w14:paraId="743F8AB6">
      <w:pPr>
        <w:spacing w:line="360" w:lineRule="auto"/>
      </w:pPr>
      <w:r>
        <w:rPr>
          <w:rFonts w:hint="eastAsia"/>
          <w:b/>
          <w:sz w:val="24"/>
        </w:rPr>
        <w:t>1-1</w:t>
      </w:r>
      <w:r>
        <w:rPr>
          <w:b/>
          <w:sz w:val="24"/>
        </w:rPr>
        <w:t>技术标准与要求</w:t>
      </w:r>
    </w:p>
    <w:tbl>
      <w:tblPr>
        <w:tblStyle w:val="8"/>
        <w:tblW w:w="85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7"/>
        <w:gridCol w:w="2778"/>
        <w:gridCol w:w="1077"/>
        <w:gridCol w:w="1077"/>
        <w:gridCol w:w="1077"/>
        <w:gridCol w:w="1134"/>
      </w:tblGrid>
      <w:tr w14:paraId="52F6E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dxa"/>
            <w:vAlign w:val="center"/>
          </w:tcPr>
          <w:p w14:paraId="7F517CDB">
            <w:pPr>
              <w:spacing w:line="360" w:lineRule="auto"/>
              <w:jc w:val="center"/>
            </w:pPr>
            <w:r>
              <w:rPr>
                <w:rFonts w:hint="eastAsia"/>
              </w:rPr>
              <w:t>项目编号</w:t>
            </w:r>
          </w:p>
        </w:tc>
        <w:tc>
          <w:tcPr>
            <w:tcW w:w="2778" w:type="dxa"/>
            <w:vAlign w:val="center"/>
          </w:tcPr>
          <w:p w14:paraId="73BD31F4">
            <w:pPr>
              <w:spacing w:line="360" w:lineRule="auto"/>
              <w:jc w:val="center"/>
            </w:pPr>
            <w:r>
              <w:rPr>
                <w:rFonts w:hint="eastAsia"/>
              </w:rPr>
              <w:t>项目</w:t>
            </w:r>
            <w:r>
              <w:t>名称</w:t>
            </w:r>
          </w:p>
        </w:tc>
        <w:tc>
          <w:tcPr>
            <w:tcW w:w="1077" w:type="dxa"/>
            <w:vAlign w:val="center"/>
          </w:tcPr>
          <w:p w14:paraId="5AD929D0">
            <w:pPr>
              <w:spacing w:line="360" w:lineRule="auto"/>
              <w:jc w:val="center"/>
            </w:pPr>
            <w:r>
              <w:t>单位</w:t>
            </w:r>
          </w:p>
        </w:tc>
        <w:tc>
          <w:tcPr>
            <w:tcW w:w="1077" w:type="dxa"/>
            <w:vAlign w:val="center"/>
          </w:tcPr>
          <w:p w14:paraId="41FE4C3F">
            <w:pPr>
              <w:spacing w:line="360" w:lineRule="auto"/>
              <w:jc w:val="center"/>
            </w:pPr>
            <w:r>
              <w:t>数量</w:t>
            </w:r>
          </w:p>
        </w:tc>
        <w:tc>
          <w:tcPr>
            <w:tcW w:w="1077" w:type="dxa"/>
            <w:vAlign w:val="center"/>
          </w:tcPr>
          <w:p w14:paraId="4B19B7FA">
            <w:pPr>
              <w:spacing w:line="360" w:lineRule="auto"/>
              <w:jc w:val="center"/>
            </w:pPr>
            <w:r>
              <w:t>预算总价（</w:t>
            </w:r>
            <w:r>
              <w:rPr>
                <w:rFonts w:hint="eastAsia"/>
              </w:rPr>
              <w:t>万</w:t>
            </w:r>
            <w:r>
              <w:t>元）</w:t>
            </w:r>
          </w:p>
        </w:tc>
        <w:tc>
          <w:tcPr>
            <w:tcW w:w="1134" w:type="dxa"/>
            <w:vAlign w:val="center"/>
          </w:tcPr>
          <w:p w14:paraId="5CEB11CD">
            <w:pPr>
              <w:spacing w:line="360" w:lineRule="auto"/>
              <w:jc w:val="center"/>
              <w:rPr>
                <w:b/>
              </w:rPr>
            </w:pPr>
            <w:r>
              <w:rPr>
                <w:b/>
              </w:rPr>
              <w:t>技术要求</w:t>
            </w:r>
          </w:p>
        </w:tc>
      </w:tr>
      <w:tr w14:paraId="354A9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 w:type="dxa"/>
            <w:vAlign w:val="center"/>
          </w:tcPr>
          <w:p w14:paraId="4675ED95">
            <w:pPr>
              <w:jc w:val="center"/>
              <w:rPr>
                <w:rFonts w:hint="eastAsia" w:eastAsiaTheme="minorEastAsia"/>
                <w:lang w:val="en-US" w:eastAsia="zh-CN"/>
              </w:rPr>
            </w:pPr>
            <w:r>
              <w:rPr>
                <w:rFonts w:hint="eastAsia"/>
              </w:rPr>
              <w:t>YL2026014</w:t>
            </w:r>
            <w:r>
              <w:rPr>
                <w:rFonts w:hint="eastAsia"/>
                <w:lang w:val="en-US" w:eastAsia="zh-CN"/>
              </w:rPr>
              <w:t>2</w:t>
            </w:r>
            <w:bookmarkStart w:id="0" w:name="_GoBack"/>
            <w:bookmarkEnd w:id="0"/>
          </w:p>
        </w:tc>
        <w:tc>
          <w:tcPr>
            <w:tcW w:w="2778" w:type="dxa"/>
            <w:vAlign w:val="center"/>
          </w:tcPr>
          <w:p w14:paraId="7C7429C9">
            <w:pPr>
              <w:jc w:val="center"/>
              <w:rPr>
                <w:rFonts w:hint="default" w:eastAsiaTheme="minorEastAsia"/>
                <w:lang w:val="en-US" w:eastAsia="zh-CN"/>
              </w:rPr>
            </w:pPr>
            <w:r>
              <w:rPr>
                <w:rFonts w:hint="default" w:eastAsiaTheme="minorEastAsia"/>
                <w:lang w:val="en-US" w:eastAsia="zh-CN"/>
              </w:rPr>
              <w:t>肌力评估与运动反馈系统</w:t>
            </w:r>
          </w:p>
        </w:tc>
        <w:tc>
          <w:tcPr>
            <w:tcW w:w="1077" w:type="dxa"/>
            <w:vAlign w:val="center"/>
          </w:tcPr>
          <w:p w14:paraId="795129D5">
            <w:pPr>
              <w:jc w:val="center"/>
            </w:pPr>
            <w:r>
              <w:rPr>
                <w:rFonts w:hint="eastAsia"/>
              </w:rPr>
              <w:t>台</w:t>
            </w:r>
          </w:p>
        </w:tc>
        <w:tc>
          <w:tcPr>
            <w:tcW w:w="1077" w:type="dxa"/>
            <w:vAlign w:val="center"/>
          </w:tcPr>
          <w:p w14:paraId="4B4CE556">
            <w:pPr>
              <w:jc w:val="center"/>
              <w:rPr>
                <w:rFonts w:hint="default" w:eastAsiaTheme="minorEastAsia"/>
                <w:lang w:val="en-US" w:eastAsia="zh-CN"/>
              </w:rPr>
            </w:pPr>
            <w:r>
              <w:rPr>
                <w:rFonts w:hint="eastAsia"/>
                <w:lang w:val="en-US" w:eastAsia="zh-CN"/>
              </w:rPr>
              <w:t>1</w:t>
            </w:r>
          </w:p>
        </w:tc>
        <w:tc>
          <w:tcPr>
            <w:tcW w:w="1077" w:type="dxa"/>
            <w:vAlign w:val="center"/>
          </w:tcPr>
          <w:p w14:paraId="2C781761">
            <w:pPr>
              <w:jc w:val="center"/>
              <w:rPr>
                <w:rFonts w:hint="default" w:eastAsiaTheme="minorEastAsia"/>
                <w:lang w:val="en-US" w:eastAsia="zh-CN"/>
              </w:rPr>
            </w:pPr>
            <w:r>
              <w:rPr>
                <w:rFonts w:hint="eastAsia"/>
                <w:lang w:val="en-US" w:eastAsia="zh-CN"/>
              </w:rPr>
              <w:t>10.26</w:t>
            </w:r>
          </w:p>
        </w:tc>
        <w:tc>
          <w:tcPr>
            <w:tcW w:w="1134" w:type="dxa"/>
            <w:vAlign w:val="center"/>
          </w:tcPr>
          <w:p w14:paraId="221A0439">
            <w:pPr>
              <w:jc w:val="center"/>
              <w:rPr>
                <w:rFonts w:hint="default" w:eastAsiaTheme="minorEastAsia"/>
                <w:lang w:val="en-US" w:eastAsia="zh-CN"/>
              </w:rPr>
            </w:pPr>
            <w:r>
              <w:rPr>
                <w:rFonts w:hint="eastAsia"/>
                <w:lang w:val="en-US" w:eastAsia="zh-CN"/>
              </w:rPr>
              <w:t>详见附表</w:t>
            </w:r>
          </w:p>
        </w:tc>
      </w:tr>
    </w:tbl>
    <w:p w14:paraId="720D90AD">
      <w:pPr>
        <w:spacing w:line="480" w:lineRule="auto"/>
      </w:pPr>
      <w:r>
        <w:rPr>
          <w:b/>
          <w:sz w:val="24"/>
        </w:rPr>
        <w:t>附表</w:t>
      </w:r>
      <w:r>
        <w:rPr>
          <w:rFonts w:hint="eastAsia"/>
          <w:b/>
          <w:sz w:val="24"/>
        </w:rPr>
        <w:t>一</w:t>
      </w:r>
      <w:r>
        <w:rPr>
          <w:b/>
          <w:sz w:val="24"/>
        </w:rPr>
        <w:t>：</w:t>
      </w:r>
      <w:r>
        <w:t xml:space="preserve"> </w:t>
      </w:r>
    </w:p>
    <w:tbl>
      <w:tblPr>
        <w:tblStyle w:val="8"/>
        <w:tblW w:w="86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8"/>
        <w:gridCol w:w="486"/>
        <w:gridCol w:w="7500"/>
      </w:tblGrid>
      <w:tr w14:paraId="6FAC2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15C8BFB1">
            <w:r>
              <w:t>参数性质</w:t>
            </w:r>
          </w:p>
        </w:tc>
        <w:tc>
          <w:tcPr>
            <w:tcW w:w="486" w:type="dxa"/>
          </w:tcPr>
          <w:p w14:paraId="511893B8">
            <w:r>
              <w:rPr>
                <w:rFonts w:hint="eastAsia"/>
              </w:rPr>
              <w:t>项目名称</w:t>
            </w:r>
          </w:p>
        </w:tc>
        <w:tc>
          <w:tcPr>
            <w:tcW w:w="7500" w:type="dxa"/>
            <w:vAlign w:val="center"/>
          </w:tcPr>
          <w:p w14:paraId="23DB3BF2">
            <w:pPr>
              <w:jc w:val="center"/>
            </w:pPr>
            <w:r>
              <w:t>具体技术(参数)要求</w:t>
            </w:r>
          </w:p>
        </w:tc>
      </w:tr>
      <w:tr w14:paraId="7A823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18" w:type="dxa"/>
            <w:vAlign w:val="center"/>
          </w:tcPr>
          <w:p w14:paraId="706FF630">
            <w:pPr>
              <w:jc w:val="center"/>
              <w:rPr>
                <w:rFonts w:hint="eastAsia" w:eastAsiaTheme="minorEastAsia"/>
                <w:lang w:eastAsia="zh-CN"/>
              </w:rPr>
            </w:pPr>
            <w:r>
              <w:rPr>
                <w:rFonts w:hint="eastAsia"/>
                <w:lang w:val="en-US" w:eastAsia="zh-CN"/>
              </w:rPr>
              <w:t>技术参数</w:t>
            </w:r>
          </w:p>
        </w:tc>
        <w:tc>
          <w:tcPr>
            <w:tcW w:w="486" w:type="dxa"/>
            <w:vAlign w:val="center"/>
          </w:tcPr>
          <w:p w14:paraId="0430E09C">
            <w:pPr>
              <w:jc w:val="center"/>
              <w:rPr>
                <w:rFonts w:hint="default" w:eastAsiaTheme="minorEastAsia"/>
                <w:lang w:val="en-US" w:eastAsia="zh-CN"/>
              </w:rPr>
            </w:pPr>
            <w:r>
              <w:rPr>
                <w:rFonts w:hint="eastAsia"/>
                <w:lang w:val="en-US" w:eastAsia="zh-CN"/>
              </w:rPr>
              <w:t>1</w:t>
            </w:r>
          </w:p>
        </w:tc>
        <w:tc>
          <w:tcPr>
            <w:tcW w:w="7500" w:type="dxa"/>
          </w:tcPr>
          <w:tbl>
            <w:tblPr>
              <w:tblStyle w:val="9"/>
              <w:tblW w:w="7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Layout w:type="fixed"/>
              <w:tblCellMar>
                <w:top w:w="0" w:type="dxa"/>
                <w:left w:w="108" w:type="dxa"/>
                <w:bottom w:w="0" w:type="dxa"/>
                <w:right w:w="108" w:type="dxa"/>
              </w:tblCellMar>
            </w:tblPr>
            <w:tblGrid>
              <w:gridCol w:w="939"/>
              <w:gridCol w:w="6292"/>
            </w:tblGrid>
            <w:tr w14:paraId="63D0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F35124A">
                  <w:pPr>
                    <w:spacing w:line="360" w:lineRule="auto"/>
                    <w:jc w:val="center"/>
                    <w:rPr>
                      <w:rFonts w:cs="Times New Roman" w:asciiTheme="minorEastAsia" w:hAnsiTheme="minorEastAsia" w:eastAsiaTheme="minorEastAsia"/>
                      <w:b/>
                      <w:kern w:val="0"/>
                      <w:sz w:val="22"/>
                      <w:szCs w:val="22"/>
                    </w:rPr>
                  </w:pPr>
                  <w:r>
                    <w:rPr>
                      <w:rFonts w:cs="Times New Roman" w:asciiTheme="minorEastAsia" w:hAnsiTheme="minorEastAsia" w:eastAsiaTheme="minorEastAsia"/>
                      <w:b/>
                      <w:kern w:val="0"/>
                      <w:sz w:val="22"/>
                      <w:szCs w:val="22"/>
                    </w:rPr>
                    <w:t>序号</w:t>
                  </w:r>
                </w:p>
              </w:tc>
              <w:tc>
                <w:tcPr>
                  <w:tcW w:w="6292" w:type="dxa"/>
                  <w:shd w:val="clear" w:color="auto" w:fill="FDE9D9" w:themeFill="accent6" w:themeFillTint="33"/>
                  <w:vAlign w:val="center"/>
                </w:tcPr>
                <w:p w14:paraId="19081271">
                  <w:pPr>
                    <w:spacing w:line="360" w:lineRule="auto"/>
                    <w:jc w:val="center"/>
                    <w:rPr>
                      <w:rFonts w:cs="Times New Roman" w:asciiTheme="minorEastAsia" w:hAnsiTheme="minorEastAsia" w:eastAsiaTheme="minorEastAsia"/>
                      <w:b/>
                      <w:kern w:val="0"/>
                      <w:sz w:val="22"/>
                      <w:szCs w:val="22"/>
                    </w:rPr>
                  </w:pPr>
                  <w:r>
                    <w:rPr>
                      <w:rFonts w:hint="eastAsia" w:cs="Times New Roman" w:asciiTheme="minorEastAsia" w:hAnsiTheme="minorEastAsia" w:eastAsiaTheme="minorEastAsia"/>
                      <w:b/>
                      <w:kern w:val="0"/>
                      <w:sz w:val="22"/>
                      <w:szCs w:val="22"/>
                    </w:rPr>
                    <w:t>参数和性能要求</w:t>
                  </w:r>
                </w:p>
              </w:tc>
            </w:tr>
            <w:tr w14:paraId="5D0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775BE9D">
                  <w:pPr>
                    <w:spacing w:line="360" w:lineRule="auto"/>
                    <w:jc w:val="center"/>
                    <w:rPr>
                      <w:rFonts w:cs="Times New Roman" w:asciiTheme="minorEastAsia" w:hAnsiTheme="minorEastAsia" w:eastAsiaTheme="minorEastAsia"/>
                      <w:b/>
                      <w:kern w:val="0"/>
                      <w:sz w:val="24"/>
                    </w:rPr>
                  </w:pPr>
                  <w:r>
                    <w:rPr>
                      <w:rFonts w:hint="eastAsia" w:eastAsia="宋体" w:cs="Times New Roman" w:asciiTheme="minorEastAsia" w:hAnsiTheme="minorEastAsia"/>
                      <w:b/>
                      <w:kern w:val="0"/>
                      <w:sz w:val="20"/>
                    </w:rPr>
                    <w:t>▲1</w:t>
                  </w:r>
                </w:p>
              </w:tc>
              <w:tc>
                <w:tcPr>
                  <w:tcW w:w="6292" w:type="dxa"/>
                  <w:shd w:val="clear" w:color="auto" w:fill="FDE9D9" w:themeFill="accent6" w:themeFillTint="33"/>
                  <w:vAlign w:val="center"/>
                </w:tcPr>
                <w:p w14:paraId="0793B2D5">
                  <w:pPr>
                    <w:tabs>
                      <w:tab w:val="left" w:pos="710"/>
                    </w:tabs>
                    <w:spacing w:line="360" w:lineRule="auto"/>
                    <w:jc w:val="both"/>
                    <w:rPr>
                      <w:rFonts w:hint="eastAsia" w:ascii="宋体" w:hAnsi="宋体" w:eastAsia="宋体" w:cs="宋体"/>
                      <w:kern w:val="0"/>
                      <w:sz w:val="24"/>
                      <w:szCs w:val="24"/>
                      <w:lang w:val="en-US" w:eastAsia="zh-CN"/>
                    </w:rPr>
                  </w:pPr>
                  <w:r>
                    <w:rPr>
                      <w:rFonts w:hint="default"/>
                      <w:lang w:val="en-US" w:eastAsia="zh-CN"/>
                    </w:rPr>
                    <w:t>肌力评估与运动反馈系统</w:t>
                  </w:r>
                  <w:r>
                    <w:rPr>
                      <w:rFonts w:hint="eastAsia"/>
                      <w:lang w:val="en-US" w:eastAsia="zh-CN"/>
                    </w:rPr>
                    <w:t>和</w:t>
                  </w:r>
                  <w:r>
                    <w:rPr>
                      <w:rFonts w:hint="default"/>
                      <w:lang w:val="en-US" w:eastAsia="zh-CN"/>
                    </w:rPr>
                    <w:t>训练平板电脑（含训练软件）</w:t>
                  </w:r>
                </w:p>
              </w:tc>
            </w:tr>
            <w:tr w14:paraId="385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D7BD5BF">
                  <w:pPr>
                    <w:spacing w:line="360" w:lineRule="auto"/>
                    <w:jc w:val="center"/>
                    <w:rPr>
                      <w:rFonts w:cs="Times New Roman" w:asciiTheme="minorEastAsia" w:hAnsiTheme="minorEastAsia" w:eastAsiaTheme="minorEastAsia"/>
                      <w:b/>
                      <w:kern w:val="0"/>
                      <w:sz w:val="24"/>
                    </w:rPr>
                  </w:pPr>
                  <w:r>
                    <w:rPr>
                      <w:rFonts w:hint="eastAsia" w:eastAsia="宋体" w:cs="Times New Roman" w:asciiTheme="minorEastAsia" w:hAnsiTheme="minorEastAsia"/>
                      <w:b/>
                      <w:kern w:val="0"/>
                      <w:sz w:val="20"/>
                    </w:rPr>
                    <w:t>▲2</w:t>
                  </w:r>
                </w:p>
              </w:tc>
              <w:tc>
                <w:tcPr>
                  <w:tcW w:w="6292" w:type="dxa"/>
                  <w:shd w:val="clear" w:color="auto" w:fill="FDE9D9" w:themeFill="accent6" w:themeFillTint="33"/>
                  <w:vAlign w:val="center"/>
                </w:tcPr>
                <w:p w14:paraId="0D03B756">
                  <w:pPr>
                    <w:jc w:val="both"/>
                    <w:rPr>
                      <w:rFonts w:hint="eastAsia" w:ascii="宋体" w:hAnsi="宋体" w:eastAsia="宋体" w:cs="宋体"/>
                      <w:sz w:val="24"/>
                      <w:szCs w:val="24"/>
                      <w:lang w:val="en-US" w:eastAsia="zh-CN"/>
                    </w:rPr>
                  </w:pPr>
                  <w:r>
                    <w:rPr>
                      <w:rFonts w:hint="eastAsia"/>
                      <w:lang w:val="en-US" w:eastAsia="zh-CN"/>
                    </w:rPr>
                    <w:t>分析及打印图表至少包含6种模式，分别是位置与时间、位置与重复、速度与时间、速度与重复、力与时间、力与重复、功率与时间、雷达图标等</w:t>
                  </w:r>
                </w:p>
              </w:tc>
            </w:tr>
            <w:tr w14:paraId="26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7C8BD">
                  <w:pPr>
                    <w:spacing w:line="360" w:lineRule="auto"/>
                    <w:jc w:val="center"/>
                    <w:rPr>
                      <w:rFonts w:eastAsia="宋体" w:cs="Times New Roman" w:asciiTheme="minorEastAsia" w:hAnsiTheme="minorEastAsia"/>
                      <w:b/>
                      <w:kern w:val="0"/>
                      <w:sz w:val="24"/>
                    </w:rPr>
                  </w:pPr>
                  <w:r>
                    <w:rPr>
                      <w:rFonts w:hint="eastAsia" w:eastAsia="宋体" w:cs="Times New Roman" w:asciiTheme="minorEastAsia" w:hAnsiTheme="minorEastAsia"/>
                      <w:b/>
                      <w:kern w:val="0"/>
                      <w:sz w:val="20"/>
                    </w:rPr>
                    <w:t>▲3</w:t>
                  </w:r>
                </w:p>
              </w:tc>
              <w:tc>
                <w:tcPr>
                  <w:tcW w:w="6292" w:type="dxa"/>
                  <w:shd w:val="clear" w:color="auto" w:fill="FDE9D9" w:themeFill="accent6" w:themeFillTint="33"/>
                  <w:vAlign w:val="center"/>
                </w:tcPr>
                <w:p w14:paraId="789B5173">
                  <w:pPr>
                    <w:jc w:val="both"/>
                    <w:rPr>
                      <w:rFonts w:hint="eastAsia" w:ascii="宋体" w:hAnsi="宋体" w:eastAsia="宋体" w:cs="宋体"/>
                      <w:sz w:val="24"/>
                      <w:szCs w:val="24"/>
                      <w:lang w:eastAsia="zh-CN"/>
                    </w:rPr>
                  </w:pPr>
                  <w:r>
                    <w:rPr>
                      <w:rFonts w:hint="eastAsia"/>
                      <w:lang w:val="en-US" w:eastAsia="zh-CN"/>
                    </w:rPr>
                    <w:t>工作站端软件，可以完成新建患者档案、设置运动处方、分析并打印评估结果等功能</w:t>
                  </w:r>
                </w:p>
              </w:tc>
            </w:tr>
            <w:tr w14:paraId="2734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0AA63F4D">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rPr>
                    <w:t>▲4</w:t>
                  </w:r>
                </w:p>
              </w:tc>
              <w:tc>
                <w:tcPr>
                  <w:tcW w:w="6292" w:type="dxa"/>
                  <w:shd w:val="clear" w:color="auto" w:fill="FDE9D9" w:themeFill="accent6" w:themeFillTint="33"/>
                  <w:vAlign w:val="center"/>
                </w:tcPr>
                <w:p w14:paraId="52D3D8AF">
                  <w:pPr>
                    <w:jc w:val="both"/>
                    <w:rPr>
                      <w:rFonts w:hint="eastAsia" w:ascii="宋体" w:hAnsi="宋体" w:eastAsia="宋体" w:cs="宋体"/>
                      <w:kern w:val="0"/>
                      <w:sz w:val="20"/>
                      <w:lang w:eastAsia="zh-CN"/>
                    </w:rPr>
                  </w:pPr>
                  <w:r>
                    <w:rPr>
                      <w:rFonts w:hint="eastAsia"/>
                      <w:lang w:val="en-US" w:eastAsia="zh-CN"/>
                    </w:rPr>
                    <w:t>软件评估模式含有等长肌力评测和肢体运动范围评测两种模式。</w:t>
                  </w:r>
                </w:p>
              </w:tc>
            </w:tr>
            <w:tr w14:paraId="2A41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1F30CBC0">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rPr>
                    <w:t>▲</w:t>
                  </w:r>
                  <w:r>
                    <w:rPr>
                      <w:rFonts w:hint="eastAsia" w:eastAsia="宋体" w:cs="Times New Roman" w:asciiTheme="minorEastAsia" w:hAnsiTheme="minorEastAsia"/>
                      <w:b/>
                      <w:kern w:val="0"/>
                      <w:sz w:val="20"/>
                      <w:lang w:val="en-US" w:eastAsia="zh-CN"/>
                    </w:rPr>
                    <w:t>5</w:t>
                  </w:r>
                </w:p>
              </w:tc>
              <w:tc>
                <w:tcPr>
                  <w:tcW w:w="6292" w:type="dxa"/>
                  <w:shd w:val="clear" w:color="auto" w:fill="FDE9D9" w:themeFill="accent6" w:themeFillTint="33"/>
                  <w:vAlign w:val="center"/>
                </w:tcPr>
                <w:p w14:paraId="15723D95">
                  <w:pPr>
                    <w:spacing w:line="360" w:lineRule="auto"/>
                    <w:jc w:val="both"/>
                    <w:rPr>
                      <w:rFonts w:hint="eastAsia" w:ascii="宋体" w:hAnsi="宋体" w:eastAsia="宋体" w:cs="宋体"/>
                      <w:kern w:val="0"/>
                      <w:sz w:val="20"/>
                      <w:lang w:eastAsia="zh-CN"/>
                    </w:rPr>
                  </w:pPr>
                  <w:r>
                    <w:rPr>
                      <w:rFonts w:hint="eastAsia"/>
                      <w:lang w:val="en-US" w:eastAsia="zh-CN"/>
                    </w:rPr>
                    <w:t>座椅表面使用医用PVC皮革，对皮肤安全无害</w:t>
                  </w:r>
                </w:p>
              </w:tc>
            </w:tr>
            <w:tr w14:paraId="2EEB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47DD78A">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rPr>
                    <w:t>▲</w:t>
                  </w:r>
                  <w:r>
                    <w:rPr>
                      <w:rFonts w:hint="eastAsia" w:eastAsia="宋体" w:cs="Times New Roman" w:asciiTheme="minorEastAsia" w:hAnsiTheme="minorEastAsia"/>
                      <w:b/>
                      <w:kern w:val="0"/>
                      <w:sz w:val="20"/>
                      <w:lang w:val="en-US" w:eastAsia="zh-CN"/>
                    </w:rPr>
                    <w:t>6</w:t>
                  </w:r>
                </w:p>
              </w:tc>
              <w:tc>
                <w:tcPr>
                  <w:tcW w:w="6292" w:type="dxa"/>
                  <w:shd w:val="clear" w:color="auto" w:fill="FDE9D9" w:themeFill="accent6" w:themeFillTint="33"/>
                  <w:vAlign w:val="center"/>
                </w:tcPr>
                <w:p w14:paraId="47241D34">
                  <w:pPr>
                    <w:spacing w:line="360" w:lineRule="auto"/>
                    <w:jc w:val="both"/>
                    <w:rPr>
                      <w:rFonts w:hint="eastAsia" w:ascii="宋体" w:hAnsi="宋体" w:eastAsia="宋体" w:cs="宋体"/>
                      <w:kern w:val="0"/>
                      <w:sz w:val="20"/>
                      <w:lang w:eastAsia="zh-CN"/>
                    </w:rPr>
                  </w:pPr>
                  <w:r>
                    <w:rPr>
                      <w:rFonts w:hint="eastAsia"/>
                      <w:lang w:val="en-US" w:eastAsia="zh-CN"/>
                    </w:rPr>
                    <w:t>阻力调节方式：电磁阻力，渐进式无级调节</w:t>
                  </w:r>
                </w:p>
              </w:tc>
            </w:tr>
            <w:tr w14:paraId="7081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063F8089">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7</w:t>
                  </w:r>
                </w:p>
              </w:tc>
              <w:tc>
                <w:tcPr>
                  <w:tcW w:w="6292" w:type="dxa"/>
                  <w:shd w:val="clear" w:color="auto" w:fill="FDE9D9" w:themeFill="accent6" w:themeFillTint="33"/>
                  <w:vAlign w:val="center"/>
                </w:tcPr>
                <w:p w14:paraId="39E5F83F">
                  <w:pPr>
                    <w:spacing w:line="360" w:lineRule="auto"/>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下肢屈伸膝动作的力量评估与肌力训练</w:t>
                  </w:r>
                </w:p>
              </w:tc>
            </w:tr>
            <w:tr w14:paraId="49ED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3D742B3D">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8</w:t>
                  </w:r>
                </w:p>
              </w:tc>
              <w:tc>
                <w:tcPr>
                  <w:tcW w:w="6292" w:type="dxa"/>
                  <w:shd w:val="clear" w:color="auto" w:fill="FDE9D9" w:themeFill="accent6" w:themeFillTint="33"/>
                  <w:vAlign w:val="center"/>
                </w:tcPr>
                <w:p w14:paraId="5C4CD754">
                  <w:pPr>
                    <w:spacing w:line="360" w:lineRule="auto"/>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小腿固定臂摆动幅度：不窄于0~90°</w:t>
                  </w:r>
                </w:p>
              </w:tc>
            </w:tr>
            <w:tr w14:paraId="5744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080AE5D0">
                  <w:pPr>
                    <w:spacing w:line="360" w:lineRule="auto"/>
                    <w:jc w:val="center"/>
                    <w:rPr>
                      <w:rFonts w:hint="eastAsia"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9</w:t>
                  </w:r>
                </w:p>
              </w:tc>
              <w:tc>
                <w:tcPr>
                  <w:tcW w:w="6292" w:type="dxa"/>
                  <w:shd w:val="clear" w:color="auto" w:fill="FDE9D9" w:themeFill="accent6" w:themeFillTint="33"/>
                  <w:vAlign w:val="center"/>
                </w:tcPr>
                <w:p w14:paraId="6168C993">
                  <w:pPr>
                    <w:spacing w:line="360" w:lineRule="auto"/>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靠背板可以前后调节，调节范围：不窄于0~100mm</w:t>
                  </w:r>
                </w:p>
              </w:tc>
            </w:tr>
            <w:tr w14:paraId="7A47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0680017">
                  <w:pPr>
                    <w:spacing w:line="360" w:lineRule="auto"/>
                    <w:jc w:val="center"/>
                    <w:rPr>
                      <w:rFonts w:hint="default"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10</w:t>
                  </w:r>
                </w:p>
              </w:tc>
              <w:tc>
                <w:tcPr>
                  <w:tcW w:w="6292" w:type="dxa"/>
                  <w:shd w:val="clear" w:color="auto" w:fill="FDE9D9" w:themeFill="accent6" w:themeFillTint="33"/>
                  <w:vAlign w:val="center"/>
                </w:tcPr>
                <w:p w14:paraId="26864D01">
                  <w:pPr>
                    <w:spacing w:line="360" w:lineRule="auto"/>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小腿固定臂长度调节范围：不窄于300~400mm</w:t>
                  </w:r>
                </w:p>
              </w:tc>
            </w:tr>
            <w:tr w14:paraId="000C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12425999">
                  <w:pPr>
                    <w:spacing w:line="360" w:lineRule="auto"/>
                    <w:jc w:val="center"/>
                    <w:rPr>
                      <w:rFonts w:hint="default"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11</w:t>
                  </w:r>
                </w:p>
              </w:tc>
              <w:tc>
                <w:tcPr>
                  <w:tcW w:w="6292" w:type="dxa"/>
                  <w:shd w:val="clear" w:color="auto" w:fill="FDE9D9" w:themeFill="accent6" w:themeFillTint="33"/>
                  <w:vAlign w:val="center"/>
                </w:tcPr>
                <w:p w14:paraId="39844612">
                  <w:pPr>
                    <w:spacing w:line="360" w:lineRule="auto"/>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足踝部固定滚筒间距调节范围：不窄于58~128mm</w:t>
                  </w:r>
                </w:p>
              </w:tc>
            </w:tr>
            <w:tr w14:paraId="2700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001D2D5A">
                  <w:pPr>
                    <w:spacing w:line="360" w:lineRule="auto"/>
                    <w:jc w:val="center"/>
                    <w:rPr>
                      <w:rFonts w:hint="default"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12</w:t>
                  </w:r>
                </w:p>
              </w:tc>
              <w:tc>
                <w:tcPr>
                  <w:tcW w:w="6292" w:type="dxa"/>
                  <w:shd w:val="clear" w:color="auto" w:fill="FDE9D9" w:themeFill="accent6" w:themeFillTint="33"/>
                  <w:vAlign w:val="center"/>
                </w:tcPr>
                <w:p w14:paraId="731F26C8">
                  <w:pPr>
                    <w:spacing w:line="360" w:lineRule="auto"/>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伸膝和屈膝阻力调节范围：不窄于0-130N</w:t>
                  </w:r>
                </w:p>
              </w:tc>
            </w:tr>
            <w:tr w14:paraId="7B7D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F1DAA0B">
                  <w:pPr>
                    <w:spacing w:line="360" w:lineRule="auto"/>
                    <w:jc w:val="center"/>
                    <w:rPr>
                      <w:rFonts w:hint="default"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13</w:t>
                  </w:r>
                </w:p>
              </w:tc>
              <w:tc>
                <w:tcPr>
                  <w:tcW w:w="6292" w:type="dxa"/>
                  <w:shd w:val="clear" w:color="auto" w:fill="FDE9D9" w:themeFill="accent6" w:themeFillTint="33"/>
                  <w:vAlign w:val="center"/>
                </w:tcPr>
                <w:p w14:paraId="75ABD33B">
                  <w:pPr>
                    <w:spacing w:line="360" w:lineRule="auto"/>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肌力评测范围：不窄于0~700N</w:t>
                  </w:r>
                </w:p>
              </w:tc>
            </w:tr>
            <w:tr w14:paraId="0F86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C9288F9">
                  <w:pPr>
                    <w:spacing w:line="360" w:lineRule="auto"/>
                    <w:jc w:val="center"/>
                    <w:rPr>
                      <w:rFonts w:hint="default"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14</w:t>
                  </w:r>
                </w:p>
              </w:tc>
              <w:tc>
                <w:tcPr>
                  <w:tcW w:w="6292" w:type="dxa"/>
                  <w:shd w:val="clear" w:color="auto" w:fill="FDE9D9" w:themeFill="accent6" w:themeFillTint="33"/>
                  <w:vAlign w:val="center"/>
                </w:tcPr>
                <w:p w14:paraId="46210B0D">
                  <w:pPr>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系统配有电脑主机，配置不低于CPUIntelAtom-Z83501.44GHz/内存4G/SSD32GB/10.1寸触控屏/分辨率1920*1200/无线网卡/USB*1/windows10操作系统</w:t>
                  </w:r>
                </w:p>
              </w:tc>
            </w:tr>
            <w:tr w14:paraId="6FC4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32C76352">
                  <w:pPr>
                    <w:spacing w:line="360" w:lineRule="auto"/>
                    <w:jc w:val="center"/>
                    <w:rPr>
                      <w:rFonts w:hint="default" w:eastAsia="宋体" w:cs="Times New Roman" w:asciiTheme="minorEastAsia" w:hAnsiTheme="minorEastAsia"/>
                      <w:b/>
                      <w:kern w:val="0"/>
                      <w:sz w:val="20"/>
                      <w:lang w:val="en-US" w:eastAsia="zh-CN"/>
                    </w:rPr>
                  </w:pPr>
                  <w:r>
                    <w:rPr>
                      <w:rFonts w:hint="eastAsia" w:eastAsia="宋体" w:cs="Times New Roman" w:asciiTheme="minorEastAsia" w:hAnsiTheme="minorEastAsia"/>
                      <w:b/>
                      <w:kern w:val="0"/>
                      <w:sz w:val="20"/>
                      <w:lang w:val="en-US" w:eastAsia="zh-CN"/>
                    </w:rPr>
                    <w:t>15</w:t>
                  </w:r>
                </w:p>
              </w:tc>
              <w:tc>
                <w:tcPr>
                  <w:tcW w:w="6292" w:type="dxa"/>
                  <w:shd w:val="clear" w:color="auto" w:fill="FDE9D9" w:themeFill="accent6" w:themeFillTint="33"/>
                  <w:vAlign w:val="center"/>
                </w:tcPr>
                <w:p w14:paraId="20CE784D">
                  <w:pPr>
                    <w:spacing w:line="360" w:lineRule="auto"/>
                    <w:jc w:val="both"/>
                    <w:rPr>
                      <w:rFonts w:hint="eastAsia" w:ascii="宋体" w:hAnsi="宋体" w:eastAsia="宋体" w:cs="宋体"/>
                      <w:color w:val="000000" w:themeColor="text1"/>
                      <w:sz w:val="24"/>
                      <w14:textFill>
                        <w14:solidFill>
                          <w14:schemeClr w14:val="tx1"/>
                        </w14:solidFill>
                      </w14:textFill>
                    </w:rPr>
                  </w:pPr>
                  <w:r>
                    <w:rPr>
                      <w:rFonts w:hint="eastAsia"/>
                      <w:lang w:val="en-US" w:eastAsia="zh-CN"/>
                    </w:rPr>
                    <w:t>内置训练小游戏，辅助进行训练，提高训练趣味性。</w:t>
                  </w:r>
                </w:p>
              </w:tc>
            </w:tr>
          </w:tbl>
          <w:p w14:paraId="249F7D9E">
            <w:pPr>
              <w:spacing w:line="360" w:lineRule="auto"/>
              <w:jc w:val="center"/>
              <w:rPr>
                <w:rFonts w:asciiTheme="minorEastAsia" w:hAnsiTheme="minorEastAsia"/>
                <w:b/>
                <w:kern w:val="0"/>
                <w:sz w:val="22"/>
                <w:szCs w:val="22"/>
              </w:rPr>
            </w:pPr>
          </w:p>
        </w:tc>
      </w:tr>
      <w:tr w14:paraId="7950B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285F4F20"/>
        </w:tc>
        <w:tc>
          <w:tcPr>
            <w:tcW w:w="486" w:type="dxa"/>
          </w:tcPr>
          <w:p w14:paraId="2E099461">
            <w:r>
              <w:rPr>
                <w:rFonts w:hint="eastAsia"/>
              </w:rPr>
              <w:t>2</w:t>
            </w:r>
          </w:p>
        </w:tc>
        <w:tc>
          <w:tcPr>
            <w:tcW w:w="7500" w:type="dxa"/>
          </w:tcPr>
          <w:p w14:paraId="338743B9">
            <w:pPr>
              <w:spacing w:line="360" w:lineRule="auto"/>
              <w:jc w:val="left"/>
            </w:pPr>
            <w:r>
              <w:rPr>
                <w:rFonts w:hint="eastAsia"/>
              </w:rPr>
              <w:t>货物要求：</w:t>
            </w:r>
          </w:p>
          <w:p w14:paraId="0FA40636">
            <w:pPr>
              <w:spacing w:line="360" w:lineRule="auto"/>
              <w:jc w:val="left"/>
              <w:rPr>
                <w:rFonts w:asciiTheme="minorEastAsia" w:hAnsiTheme="minorEastAsia"/>
              </w:rPr>
            </w:pPr>
            <w:r>
              <w:rPr>
                <w:rFonts w:hint="eastAsia" w:asciiTheme="minorEastAsia" w:hAnsiTheme="minorEastAsia"/>
              </w:rPr>
              <w:t>1、如投标人所投的产品不是投标人自己制造的，投标人应得到制造商同意其在本次投标中提供该货物的</w:t>
            </w:r>
            <w:r>
              <w:rPr>
                <w:rFonts w:hint="eastAsia" w:asciiTheme="minorEastAsia" w:hAnsiTheme="minorEastAsia"/>
                <w:b/>
              </w:rPr>
              <w:t>正式授权书（逐级授权都需齐全）</w:t>
            </w:r>
            <w:r>
              <w:rPr>
                <w:rFonts w:hint="eastAsia" w:asciiTheme="minorEastAsia" w:hAnsiTheme="minorEastAsia"/>
              </w:rPr>
              <w:t>。</w:t>
            </w:r>
          </w:p>
          <w:p w14:paraId="6EDFE0AC">
            <w:pPr>
              <w:spacing w:line="360" w:lineRule="auto"/>
              <w:jc w:val="left"/>
              <w:rPr>
                <w:rFonts w:asciiTheme="minorEastAsia" w:hAnsiTheme="minorEastAsia"/>
              </w:rPr>
            </w:pPr>
            <w:r>
              <w:rPr>
                <w:rFonts w:hint="eastAsia" w:asciiTheme="minorEastAsia" w:hAnsiTheme="minorEastAsia"/>
              </w:rPr>
              <w:t>2、投标人须提供所投产品</w:t>
            </w:r>
            <w:r>
              <w:rPr>
                <w:rFonts w:hint="eastAsia" w:asciiTheme="minorEastAsia" w:hAnsiTheme="minorEastAsia"/>
                <w:b/>
              </w:rPr>
              <w:t>完整的配置清单</w:t>
            </w:r>
            <w:r>
              <w:rPr>
                <w:rFonts w:hint="eastAsia" w:asciiTheme="minorEastAsia" w:hAnsiTheme="minorEastAsia"/>
              </w:rPr>
              <w:t>。</w:t>
            </w:r>
          </w:p>
          <w:p w14:paraId="10B259E5">
            <w:pPr>
              <w:spacing w:line="360" w:lineRule="auto"/>
              <w:jc w:val="left"/>
              <w:rPr>
                <w:rFonts w:asciiTheme="minorEastAsia" w:hAnsiTheme="minorEastAsia"/>
              </w:rPr>
            </w:pPr>
            <w:r>
              <w:rPr>
                <w:rFonts w:hint="eastAsia" w:asciiTheme="minorEastAsia" w:hAnsiTheme="minorEastAsia"/>
              </w:rPr>
              <w:t>3、如投标人所投产品</w:t>
            </w:r>
            <w:r>
              <w:rPr>
                <w:rFonts w:hint="eastAsia" w:asciiTheme="minorEastAsia" w:hAnsiTheme="minorEastAsia"/>
                <w:b/>
              </w:rPr>
              <w:t>含有配套耗材，须提供配套耗材的报价明细</w:t>
            </w:r>
            <w:r>
              <w:rPr>
                <w:rFonts w:hint="eastAsia" w:asciiTheme="minorEastAsia" w:hAnsiTheme="minorEastAsia"/>
              </w:rPr>
              <w:t>，该报价将作为后期采购的参考价格，但不包括在本次投标报价中；如投标人所投产品不含有配套耗材，提供不需要配套耗材的声明函。</w:t>
            </w:r>
          </w:p>
          <w:p w14:paraId="36AA0375">
            <w:pPr>
              <w:spacing w:line="360" w:lineRule="auto"/>
              <w:jc w:val="left"/>
              <w:rPr>
                <w:rFonts w:asciiTheme="minorEastAsia" w:hAnsiTheme="minorEastAsia"/>
              </w:rPr>
            </w:pPr>
            <w:r>
              <w:rPr>
                <w:rFonts w:hint="eastAsia" w:asciiTheme="minorEastAsia" w:hAnsiTheme="minorEastAsia"/>
                <w:b/>
              </w:rPr>
              <w:t>4、所投产品具有有效的中华人民共和国医疗器械注册证（注册证型号与投标型号一致）。（所投产品必须证件齐全，且在有效期内。若本条不满足，则投标无效）</w:t>
            </w:r>
          </w:p>
          <w:p w14:paraId="5DAB336E">
            <w:pPr>
              <w:spacing w:line="360" w:lineRule="auto"/>
              <w:jc w:val="left"/>
              <w:rPr>
                <w:rFonts w:asciiTheme="minorEastAsia" w:hAnsiTheme="minorEastAsia"/>
              </w:rPr>
            </w:pPr>
            <w:r>
              <w:rPr>
                <w:rFonts w:hint="eastAsia" w:asciiTheme="minorEastAsia" w:hAnsiTheme="minorEastAsia"/>
              </w:rPr>
              <w:t>5、本项目所述产品及技术要求，应视为保证项目投入运行所需的最低要求，并无指定。投标人可选用技术参数相当或更优的产品进行响应，也可以对产品配套的细节部分加以明确和优化。</w:t>
            </w:r>
          </w:p>
        </w:tc>
      </w:tr>
      <w:tr w14:paraId="62DB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0" w:hRule="atLeast"/>
        </w:trPr>
        <w:tc>
          <w:tcPr>
            <w:tcW w:w="1104" w:type="dxa"/>
            <w:gridSpan w:val="2"/>
          </w:tcPr>
          <w:p w14:paraId="072A2D74">
            <w:pPr>
              <w:ind w:firstLine="401"/>
              <w:jc w:val="left"/>
            </w:pPr>
            <w:r>
              <w:t>说明</w:t>
            </w:r>
          </w:p>
        </w:tc>
        <w:tc>
          <w:tcPr>
            <w:tcW w:w="7500" w:type="dxa"/>
            <w:tcBorders>
              <w:top w:val="single" w:color="auto" w:sz="0" w:space="0"/>
              <w:left w:val="single" w:color="auto" w:sz="0" w:space="0"/>
              <w:bottom w:val="single" w:color="auto" w:sz="0" w:space="0"/>
              <w:right w:val="single" w:color="auto" w:sz="0" w:space="0"/>
            </w:tcBorders>
          </w:tcPr>
          <w:p w14:paraId="4F160CD5">
            <w:pPr>
              <w:spacing w:line="360" w:lineRule="auto"/>
              <w:rPr>
                <w:rFonts w:ascii="宋体" w:hAnsi="宋体"/>
                <w:szCs w:val="21"/>
              </w:rPr>
            </w:pPr>
            <w:r>
              <w:t>打“</w:t>
            </w:r>
            <w:r>
              <w:rPr>
                <w:rFonts w:hint="eastAsia" w:ascii="宋体" w:hAnsi="宋体" w:eastAsia="宋体" w:cs="宋体"/>
              </w:rPr>
              <w:t>★</w:t>
            </w:r>
            <w:r>
              <w:rPr>
                <w:rFonts w:ascii="Calibri" w:hAnsi="Calibri" w:cs="Calibri"/>
              </w:rPr>
              <w:t>”</w:t>
            </w:r>
            <w:r>
              <w:t>号条款为实质性条款，若有任何一条不满足则导致投标无效。</w:t>
            </w:r>
            <w:r>
              <w:br w:type="textWrapping"/>
            </w:r>
            <w:r>
              <w:t>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p>
        </w:tc>
      </w:tr>
    </w:tbl>
    <w:p w14:paraId="7ACAC608">
      <w:pPr>
        <w:spacing w:line="360" w:lineRule="auto"/>
      </w:pPr>
      <w:r>
        <w:rPr>
          <w:rFonts w:hint="eastAsia"/>
          <w:b/>
          <w:sz w:val="24"/>
        </w:rPr>
        <w:t>2</w:t>
      </w:r>
      <w:r>
        <w:rPr>
          <w:b/>
          <w:sz w:val="24"/>
        </w:rPr>
        <w:t>.主要商务要求</w:t>
      </w:r>
    </w:p>
    <w:tbl>
      <w:tblPr>
        <w:tblStyle w:val="8"/>
        <w:tblW w:w="84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6663"/>
      </w:tblGrid>
      <w:tr w14:paraId="1F515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C910908">
            <w:pPr>
              <w:spacing w:line="360" w:lineRule="auto"/>
            </w:pPr>
            <w:r>
              <w:rPr>
                <w:rFonts w:hint="eastAsia"/>
              </w:rPr>
              <w:t>① 供货</w:t>
            </w:r>
            <w:r>
              <w:t>时间</w:t>
            </w:r>
          </w:p>
        </w:tc>
        <w:tc>
          <w:tcPr>
            <w:tcW w:w="6663" w:type="dxa"/>
          </w:tcPr>
          <w:p w14:paraId="6A3C5D8D">
            <w:pPr>
              <w:spacing w:line="360" w:lineRule="auto"/>
            </w:pPr>
            <w:r>
              <w:rPr>
                <w:rFonts w:hint="eastAsia"/>
              </w:rPr>
              <w:t>合同签订生效后30个日历天内，完成到货安装调试并提交采购人试用。</w:t>
            </w:r>
          </w:p>
        </w:tc>
      </w:tr>
      <w:tr w14:paraId="7C91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3686EF7">
            <w:pPr>
              <w:spacing w:line="360" w:lineRule="auto"/>
            </w:pPr>
            <w:r>
              <w:rPr>
                <w:rFonts w:hint="eastAsia"/>
              </w:rPr>
              <w:t>② 供货</w:t>
            </w:r>
            <w:r>
              <w:t>地点</w:t>
            </w:r>
          </w:p>
        </w:tc>
        <w:tc>
          <w:tcPr>
            <w:tcW w:w="6663" w:type="dxa"/>
          </w:tcPr>
          <w:p w14:paraId="3D60997C">
            <w:pPr>
              <w:spacing w:line="360" w:lineRule="auto"/>
            </w:pPr>
            <w:r>
              <w:rPr>
                <w:rFonts w:hint="eastAsia"/>
                <w:color w:val="000000" w:themeColor="text1"/>
                <w14:textFill>
                  <w14:solidFill>
                    <w14:schemeClr w14:val="tx1"/>
                  </w14:solidFill>
                </w14:textFill>
              </w:rPr>
              <w:t>采购人</w:t>
            </w:r>
            <w:r>
              <w:t>指定地点</w:t>
            </w:r>
          </w:p>
        </w:tc>
      </w:tr>
      <w:tr w14:paraId="06C72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09" w:type="dxa"/>
          </w:tcPr>
          <w:p w14:paraId="337A153E">
            <w:pPr>
              <w:spacing w:line="360" w:lineRule="auto"/>
            </w:pPr>
            <w:r>
              <w:rPr>
                <w:rFonts w:hint="eastAsia"/>
              </w:rPr>
              <w:t xml:space="preserve">③ </w:t>
            </w:r>
            <w:r>
              <w:t>付款方式</w:t>
            </w:r>
          </w:p>
        </w:tc>
        <w:tc>
          <w:tcPr>
            <w:tcW w:w="6663" w:type="dxa"/>
          </w:tcPr>
          <w:p w14:paraId="76CBDC50">
            <w:pPr>
              <w:spacing w:line="360" w:lineRule="auto"/>
            </w:pPr>
            <w:r>
              <w:rPr>
                <w:rFonts w:hint="eastAsia"/>
              </w:rPr>
              <w:t>（一）10万元以内分两期付款，合同签订生效后,乙方将设备运到指定地点，安装调试完毕并验收合格、入库之后的3个月后，将支付合同总金额的80%；合同签订生效十八个月后将支付余下款项（合同总金额的20%）。</w:t>
            </w:r>
          </w:p>
          <w:p w14:paraId="40001D51">
            <w:pPr>
              <w:spacing w:line="360" w:lineRule="auto"/>
            </w:pPr>
            <w:r>
              <w:rPr>
                <w:rFonts w:hint="eastAsia"/>
              </w:rPr>
              <w:t>（二）10万元以上设备分三期支付货款，合同签订生效后的30个工作日，支付合同总金额的30%；安装调试完毕并验收合格、入库后的30个工作日，将支付合同总金额的60%；合同签订生效十八个月后，确认无其它扣款事项后30个工作日，将支付余下款项（合同总金额的10%）。</w:t>
            </w:r>
          </w:p>
        </w:tc>
      </w:tr>
      <w:tr w14:paraId="55D4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CC9D4">
            <w:pPr>
              <w:spacing w:line="360" w:lineRule="auto"/>
            </w:pPr>
            <w:r>
              <w:rPr>
                <w:rFonts w:hint="eastAsia"/>
              </w:rPr>
              <w:t xml:space="preserve">④ </w:t>
            </w:r>
            <w:r>
              <w:t>验收要求</w:t>
            </w:r>
          </w:p>
        </w:tc>
        <w:tc>
          <w:tcPr>
            <w:tcW w:w="6663" w:type="dxa"/>
          </w:tcPr>
          <w:p w14:paraId="5C0A4689">
            <w:pPr>
              <w:spacing w:line="360" w:lineRule="auto"/>
            </w:pPr>
            <w:r>
              <w:rPr>
                <w:rFonts w:hint="eastAsia"/>
              </w:rPr>
              <w:t>（一）验收时间：</w:t>
            </w:r>
            <w:r>
              <w:rPr>
                <w:rFonts w:hint="eastAsia"/>
                <w:u w:val="single"/>
              </w:rPr>
              <w:t>设备安装调试完毕后并试用一周后进行，中标人应提交相应的验收资料协助采购人进行验收。</w:t>
            </w:r>
            <w:r>
              <w:rPr>
                <w:rFonts w:hint="eastAsia"/>
              </w:rPr>
              <w:t>（二）验收方法：由采购人使用部门人员、医疗器械工程师及中标人相关人员共同对设备产品质量和技术指标进行检验。政府招标项目需提交由具备资质的检测机构出具的性能检测报告(检测费由中标人承担)。（三）验收标准：1、中标人提供的设备必须是全新的，出厂日期不超过壹年，且交付时原厂包装完好，无任何质量缺陷；设备中所装的软件必须是最新的版本。2、中标人随设备提供设备的中文说明书、中文使用手册及合同第二条（二）中列明的相关法律文件资料。3、安装调试完毕后，所有设备必须能保证能正常运行并满足采购人购买时所声明的使用需求。4、质量验收不限于以上标准，其中未包括的内容，执行现行的适用于该设备的国家和行业最高标准。</w:t>
            </w:r>
          </w:p>
        </w:tc>
      </w:tr>
      <w:tr w14:paraId="31E23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0CA2278">
            <w:pPr>
              <w:spacing w:line="360" w:lineRule="auto"/>
            </w:pPr>
            <w:r>
              <w:rPr>
                <w:rFonts w:hint="eastAsia"/>
              </w:rPr>
              <w:t xml:space="preserve">⑤ </w:t>
            </w:r>
            <w:r>
              <w:t>其他</w:t>
            </w:r>
            <w:r>
              <w:rPr>
                <w:rFonts w:hint="eastAsia"/>
              </w:rPr>
              <w:t>要求</w:t>
            </w:r>
          </w:p>
        </w:tc>
        <w:tc>
          <w:tcPr>
            <w:tcW w:w="6663" w:type="dxa"/>
          </w:tcPr>
          <w:p w14:paraId="57183026">
            <w:pPr>
              <w:spacing w:line="360" w:lineRule="auto"/>
              <w:jc w:val="left"/>
              <w:rPr>
                <w:bCs/>
                <w:szCs w:val="21"/>
              </w:rPr>
            </w:pPr>
            <w:r>
              <w:rPr>
                <w:rFonts w:hint="eastAsia"/>
                <w:bCs/>
                <w:szCs w:val="21"/>
              </w:rPr>
              <w:t>1、产品要求：投标提供的设备为原制造商制造的全新产品，无污染，无侵权行为、无划损、无任何缺陷隐患，在中国境内可依常规安全合法使用。</w:t>
            </w:r>
          </w:p>
          <w:p w14:paraId="16437A50">
            <w:pPr>
              <w:spacing w:line="360" w:lineRule="auto"/>
              <w:jc w:val="left"/>
              <w:rPr>
                <w:bCs/>
                <w:szCs w:val="21"/>
              </w:rPr>
            </w:pPr>
            <w:r>
              <w:rPr>
                <w:rFonts w:hint="eastAsia"/>
                <w:bCs/>
                <w:szCs w:val="21"/>
              </w:rPr>
              <w:t>2、投标报价要求：包括但不限于所有货物、配件、搬运、专用工具购置费，包装运输费、装卸费、搬运费、保险费、安装调试费、人员培训费、技术支持费、利润、税费、保修期内的售后维护服务费、保修费以及货物运抵采购人指定地点所产生的其它费用等中标人完全正确履行本合同项下全部义务所产生的一切费用，除此之外，采购人无须向中标人支付其他任何费用。</w:t>
            </w:r>
          </w:p>
          <w:p w14:paraId="60522FB5">
            <w:pPr>
              <w:spacing w:line="360" w:lineRule="auto"/>
              <w:jc w:val="left"/>
              <w:rPr>
                <w:bCs/>
                <w:szCs w:val="21"/>
              </w:rPr>
            </w:pPr>
            <w:r>
              <w:rPr>
                <w:rFonts w:hint="eastAsia"/>
                <w:bCs/>
                <w:szCs w:val="21"/>
              </w:rPr>
              <w:t>3、运输及安装调试要求：中标人负责将货物送至采购人指定地点，运输过程中产生的所有费用由中标人承担，中标人应视产品特性、供货期限等情况选择适当的运输方式，并在起运前将运输方式、到货时间、保险情况等提前书面通知采购人，以便采购人提前做好接货准备。由于货物质量问题引起二次装卸、运输等费用全部有中标人承担。产品到货后由厂家专职工程师负责，到医院现场安装、调试，将产品安装并调试至正常运行的最佳状态。安装过程中，中标人施工人员出现人身损害或财产毁损等一切意外事故，及其给采购人或第三方造成的人身伤害、财产损失的，均由中标人承担。</w:t>
            </w:r>
          </w:p>
          <w:p w14:paraId="4240C0EA">
            <w:pPr>
              <w:spacing w:line="360" w:lineRule="auto"/>
              <w:jc w:val="left"/>
              <w:rPr>
                <w:bCs/>
                <w:szCs w:val="21"/>
              </w:rPr>
            </w:pPr>
            <w:r>
              <w:rPr>
                <w:rFonts w:hint="eastAsia"/>
                <w:bCs/>
                <w:szCs w:val="21"/>
              </w:rPr>
              <w:t>4、售后服务：（1）整机(含所有零配件)原厂保修期</w:t>
            </w:r>
            <w:r>
              <w:rPr>
                <w:rFonts w:hint="eastAsia"/>
                <w:b/>
                <w:bCs/>
                <w:szCs w:val="21"/>
              </w:rPr>
              <w:t>至少三年</w:t>
            </w:r>
            <w:r>
              <w:rPr>
                <w:rFonts w:hint="eastAsia"/>
                <w:bCs/>
                <w:szCs w:val="21"/>
              </w:rPr>
              <w:t>，乙方需提供设备生产商或国内总代理上述保修方案的服务书。该服务书包括但不限于售后服务内容及联系电话、采购项目编号、采购项目名称、所投设备名称、采购人名称、制造商或国内总代理名称、落款日期等内容。（由此产生的费用已包含在本合同总价中）。自用户验收合格之日起计，提供正版软件终身升级服务（该费用已包含在本合同总价中）。</w:t>
            </w:r>
          </w:p>
          <w:p w14:paraId="68A82CFE">
            <w:pPr>
              <w:spacing w:line="360" w:lineRule="auto"/>
              <w:jc w:val="left"/>
              <w:rPr>
                <w:bCs/>
                <w:szCs w:val="21"/>
              </w:rPr>
            </w:pPr>
            <w:r>
              <w:rPr>
                <w:rFonts w:hint="eastAsia"/>
                <w:bCs/>
                <w:szCs w:val="21"/>
              </w:rPr>
              <w:t xml:space="preserve">（2）①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②保修期内至少每季度1次按生产商保养标准做1次保养（该费用已包含在本合同总价中），并出具报告交采购人设备科留存。③保修期后，供应商对设备实行终身上门维修，终身上门保养（≥1次/年），并提供维修保养报告（该费用已包含在合同总价中）。供应商未履行前述维修和保养服务的，采购人有权不支付尾款，尾款金额不足以赔偿采购人损失的，采购人有权要求供应商承担继续赔偿责任。    </w:t>
            </w:r>
          </w:p>
          <w:p w14:paraId="12CA36A9">
            <w:pPr>
              <w:spacing w:line="360" w:lineRule="auto"/>
              <w:jc w:val="left"/>
              <w:rPr>
                <w:bCs/>
                <w:szCs w:val="21"/>
              </w:rPr>
            </w:pPr>
            <w:r>
              <w:rPr>
                <w:rFonts w:hint="eastAsia"/>
                <w:bCs/>
                <w:szCs w:val="21"/>
              </w:rPr>
              <w:t>（3）承担设备首次计量校准费用。</w:t>
            </w:r>
          </w:p>
          <w:p w14:paraId="2F70847A">
            <w:pPr>
              <w:spacing w:line="360" w:lineRule="auto"/>
              <w:jc w:val="left"/>
              <w:rPr>
                <w:bCs/>
                <w:szCs w:val="21"/>
              </w:rPr>
            </w:pPr>
            <w:r>
              <w:rPr>
                <w:rFonts w:hint="eastAsia"/>
                <w:bCs/>
                <w:szCs w:val="21"/>
              </w:rPr>
              <w:t>5、培训要求：中标人负责培训采购人有关技术人员，直至掌握操作技术为止。在仪器正常使用期间，中标人须负责该设备的技术咨询。</w:t>
            </w:r>
          </w:p>
          <w:p w14:paraId="5B40053E">
            <w:pPr>
              <w:spacing w:line="360" w:lineRule="auto"/>
              <w:jc w:val="left"/>
              <w:rPr>
                <w:bCs/>
                <w:szCs w:val="21"/>
              </w:rPr>
            </w:pPr>
            <w:r>
              <w:rPr>
                <w:rFonts w:hint="eastAsia"/>
                <w:bCs/>
                <w:szCs w:val="21"/>
              </w:rPr>
              <w:t>6、知识产权：中标人保证合同项下提供的设备不侵犯任何第三方的专利、商标或版权等知识产权。否则，中标人须承担对第三方的专利、商标或版权等知识产权的侵权责任并承担因此而发生的所有费用，并赔偿给甲方造成的损失（包括但不限于：被第三方追偿的费用，甲方因此支付的律师费、诉讼费、保全费、保函费、差旅费等）</w:t>
            </w:r>
          </w:p>
        </w:tc>
      </w:tr>
    </w:tbl>
    <w:p w14:paraId="3BA12F58">
      <w:pPr>
        <w:spacing w:line="360" w:lineRule="auto"/>
      </w:pPr>
    </w:p>
    <w:sectPr>
      <w:pgSz w:w="11906" w:h="16838"/>
      <w:pgMar w:top="1440"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WY2NDY2OTlmZjIwMTI1NzljMGVlNGZjZjYzZmQifQ=="/>
  </w:docVars>
  <w:rsids>
    <w:rsidRoot w:val="00CE35EB"/>
    <w:rsid w:val="000144B2"/>
    <w:rsid w:val="00040B7C"/>
    <w:rsid w:val="00043EF5"/>
    <w:rsid w:val="00044326"/>
    <w:rsid w:val="000A2591"/>
    <w:rsid w:val="000A2AE7"/>
    <w:rsid w:val="000C2191"/>
    <w:rsid w:val="000C2559"/>
    <w:rsid w:val="000E459D"/>
    <w:rsid w:val="000F2543"/>
    <w:rsid w:val="000F75BA"/>
    <w:rsid w:val="001259B6"/>
    <w:rsid w:val="00140B25"/>
    <w:rsid w:val="001A350B"/>
    <w:rsid w:val="001B20EF"/>
    <w:rsid w:val="001B7542"/>
    <w:rsid w:val="001C10CE"/>
    <w:rsid w:val="001D5C7E"/>
    <w:rsid w:val="001F4128"/>
    <w:rsid w:val="00260911"/>
    <w:rsid w:val="00271233"/>
    <w:rsid w:val="0027453E"/>
    <w:rsid w:val="003031D2"/>
    <w:rsid w:val="00311E7F"/>
    <w:rsid w:val="003252A4"/>
    <w:rsid w:val="00353A1C"/>
    <w:rsid w:val="00355391"/>
    <w:rsid w:val="003A7A7A"/>
    <w:rsid w:val="003C2E83"/>
    <w:rsid w:val="003C700F"/>
    <w:rsid w:val="003D6F3A"/>
    <w:rsid w:val="003E33C7"/>
    <w:rsid w:val="0040790F"/>
    <w:rsid w:val="004200B0"/>
    <w:rsid w:val="004271D6"/>
    <w:rsid w:val="004901B0"/>
    <w:rsid w:val="004F127F"/>
    <w:rsid w:val="00510DE3"/>
    <w:rsid w:val="00543040"/>
    <w:rsid w:val="00554E9B"/>
    <w:rsid w:val="00555395"/>
    <w:rsid w:val="0055706C"/>
    <w:rsid w:val="005838C3"/>
    <w:rsid w:val="005A5EFF"/>
    <w:rsid w:val="005B700D"/>
    <w:rsid w:val="005E2E53"/>
    <w:rsid w:val="005E7652"/>
    <w:rsid w:val="00636A5A"/>
    <w:rsid w:val="00647249"/>
    <w:rsid w:val="006553F5"/>
    <w:rsid w:val="00657FAD"/>
    <w:rsid w:val="0067283E"/>
    <w:rsid w:val="00675797"/>
    <w:rsid w:val="006C3B09"/>
    <w:rsid w:val="006D0AA5"/>
    <w:rsid w:val="006D1C1B"/>
    <w:rsid w:val="00701302"/>
    <w:rsid w:val="0070611A"/>
    <w:rsid w:val="00723790"/>
    <w:rsid w:val="00745919"/>
    <w:rsid w:val="00753BA1"/>
    <w:rsid w:val="007756DF"/>
    <w:rsid w:val="007756FD"/>
    <w:rsid w:val="007A06CF"/>
    <w:rsid w:val="007A0A27"/>
    <w:rsid w:val="007B79E4"/>
    <w:rsid w:val="007C7D9B"/>
    <w:rsid w:val="007D7C66"/>
    <w:rsid w:val="007E2963"/>
    <w:rsid w:val="00812DF4"/>
    <w:rsid w:val="00814C7F"/>
    <w:rsid w:val="008301C7"/>
    <w:rsid w:val="008467A8"/>
    <w:rsid w:val="00871C7A"/>
    <w:rsid w:val="008A0BCF"/>
    <w:rsid w:val="008A647D"/>
    <w:rsid w:val="008B7CE7"/>
    <w:rsid w:val="008C2B2E"/>
    <w:rsid w:val="008F0B96"/>
    <w:rsid w:val="0090666E"/>
    <w:rsid w:val="009536CE"/>
    <w:rsid w:val="00957893"/>
    <w:rsid w:val="00965EA1"/>
    <w:rsid w:val="00971E56"/>
    <w:rsid w:val="0098133A"/>
    <w:rsid w:val="0098573F"/>
    <w:rsid w:val="009967B2"/>
    <w:rsid w:val="009B1881"/>
    <w:rsid w:val="009C06ED"/>
    <w:rsid w:val="00A2387F"/>
    <w:rsid w:val="00A41556"/>
    <w:rsid w:val="00AB5A5A"/>
    <w:rsid w:val="00AD0C59"/>
    <w:rsid w:val="00AE18BB"/>
    <w:rsid w:val="00B0212A"/>
    <w:rsid w:val="00B15BC2"/>
    <w:rsid w:val="00B33240"/>
    <w:rsid w:val="00B4150B"/>
    <w:rsid w:val="00B51D64"/>
    <w:rsid w:val="00B54242"/>
    <w:rsid w:val="00B631E1"/>
    <w:rsid w:val="00B75E7B"/>
    <w:rsid w:val="00BC72F0"/>
    <w:rsid w:val="00BD4999"/>
    <w:rsid w:val="00BF1D4B"/>
    <w:rsid w:val="00CE35EB"/>
    <w:rsid w:val="00D00FE5"/>
    <w:rsid w:val="00D1694B"/>
    <w:rsid w:val="00D2439D"/>
    <w:rsid w:val="00D32C33"/>
    <w:rsid w:val="00D548CE"/>
    <w:rsid w:val="00D54911"/>
    <w:rsid w:val="00D55C95"/>
    <w:rsid w:val="00D727CB"/>
    <w:rsid w:val="00D8671A"/>
    <w:rsid w:val="00DB03DD"/>
    <w:rsid w:val="00DB7942"/>
    <w:rsid w:val="00DE1B85"/>
    <w:rsid w:val="00DE3C72"/>
    <w:rsid w:val="00E06D6A"/>
    <w:rsid w:val="00E36425"/>
    <w:rsid w:val="00E63EF0"/>
    <w:rsid w:val="00E749A3"/>
    <w:rsid w:val="00E76FC9"/>
    <w:rsid w:val="00E87C42"/>
    <w:rsid w:val="00EC4A4C"/>
    <w:rsid w:val="00ED3365"/>
    <w:rsid w:val="00F04009"/>
    <w:rsid w:val="00F06225"/>
    <w:rsid w:val="00F642C7"/>
    <w:rsid w:val="00F7023F"/>
    <w:rsid w:val="00F72C24"/>
    <w:rsid w:val="00F86435"/>
    <w:rsid w:val="00F868EC"/>
    <w:rsid w:val="00FB28C9"/>
    <w:rsid w:val="00FB74F6"/>
    <w:rsid w:val="00FC6EFF"/>
    <w:rsid w:val="00FD5CEA"/>
    <w:rsid w:val="00FE169A"/>
    <w:rsid w:val="14443478"/>
    <w:rsid w:val="147505A8"/>
    <w:rsid w:val="157C3CEB"/>
    <w:rsid w:val="1AB91FC7"/>
    <w:rsid w:val="1D647D16"/>
    <w:rsid w:val="1FD931F4"/>
    <w:rsid w:val="221C5F15"/>
    <w:rsid w:val="292A6617"/>
    <w:rsid w:val="2C405431"/>
    <w:rsid w:val="2E486FEB"/>
    <w:rsid w:val="34C67823"/>
    <w:rsid w:val="39047C75"/>
    <w:rsid w:val="3D3D3705"/>
    <w:rsid w:val="42A91F6D"/>
    <w:rsid w:val="4FCA0B10"/>
    <w:rsid w:val="5524615D"/>
    <w:rsid w:val="59865635"/>
    <w:rsid w:val="5B650A90"/>
    <w:rsid w:val="6A88262E"/>
    <w:rsid w:val="6AD167ED"/>
    <w:rsid w:val="71B91FDD"/>
    <w:rsid w:val="76A02F8E"/>
    <w:rsid w:val="7CBC2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unhideWhenUsed/>
    <w:qFormat/>
    <w:uiPriority w:val="99"/>
    <w:pPr>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正文文本缩进 Char"/>
    <w:basedOn w:val="10"/>
    <w:link w:val="3"/>
    <w:semiHidden/>
    <w:qFormat/>
    <w:uiPriority w:val="99"/>
    <w:rPr>
      <w:szCs w:val="24"/>
    </w:rPr>
  </w:style>
  <w:style w:type="character" w:customStyle="1" w:styleId="14">
    <w:name w:val="正文首行缩进 2 Char"/>
    <w:basedOn w:val="13"/>
    <w:link w:val="2"/>
    <w:qFormat/>
    <w:uiPriority w:val="99"/>
    <w:rPr>
      <w:szCs w:val="24"/>
    </w:rPr>
  </w:style>
  <w:style w:type="character" w:customStyle="1" w:styleId="15">
    <w:name w:val="批注框文本 Char"/>
    <w:basedOn w:val="10"/>
    <w:link w:val="4"/>
    <w:semiHidden/>
    <w:qFormat/>
    <w:uiPriority w:val="99"/>
    <w:rPr>
      <w:sz w:val="18"/>
      <w:szCs w:val="18"/>
    </w:rPr>
  </w:style>
  <w:style w:type="paragraph" w:customStyle="1" w:styleId="16">
    <w:name w:val="Ｒ07-正!!文"/>
    <w:qFormat/>
    <w:uiPriority w:val="0"/>
    <w:pPr>
      <w:wordWrap w:val="0"/>
      <w:spacing w:afterLines="20" w:line="312" w:lineRule="auto"/>
      <w:ind w:firstLine="496" w:firstLineChars="200"/>
    </w:pPr>
    <w:rPr>
      <w:rFonts w:ascii="宋体" w:hAnsi="宋体" w:eastAsia="宋体" w:cs="宋体"/>
      <w:snapToGrid w:val="0"/>
      <w:spacing w:val="4"/>
      <w:sz w:val="24"/>
      <w:szCs w:val="24"/>
      <w:lang w:val="en-US" w:eastAsia="zh-CN" w:bidi="ar-SA"/>
    </w:rPr>
  </w:style>
  <w:style w:type="paragraph" w:customStyle="1" w:styleId="17">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9848-A14C-4133-9588-FB7F68C72F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2817</Words>
  <Characters>2954</Characters>
  <Lines>22</Lines>
  <Paragraphs>6</Paragraphs>
  <TotalTime>11</TotalTime>
  <ScaleCrop>false</ScaleCrop>
  <LinksUpToDate>false</LinksUpToDate>
  <CharactersWithSpaces>2964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2026-01-15T09:39:00Z</dcterms:created>
  <dc:creator>何烷桦</dc:creator>
  <cp:lastModifiedBy>  </cp:lastModifiedBy>
  <dcterms:modified xsi:type="dcterms:W3CDTF">2026-07-30T08:09:23Z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B96EFD81DB654B89B89A3BD539A81EC7_13</vt:lpwstr>
  </property>
  <property fmtid="{D5CDD505-2E9C-101B-9397-08002B2CF9AE}" pid="4" name="KSOTemplateDocerSaveRecord">
    <vt:lpwstr>eyJoZGlkIjoiZjU0MzFkZjIyZDRhZDg0MDAxY2Y4MDE3ZWM1MGVkNzgiLCJ1c2VySWQiOiIzNzE4MDk3NDIifQ==</vt:lpwstr>
  </property>
</Properties>
</file>