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03054">
      <w:pPr>
        <w:spacing w:line="360" w:lineRule="auto"/>
        <w:jc w:val="center"/>
      </w:pPr>
      <w:r>
        <w:rPr>
          <w:b/>
          <w:sz w:val="36"/>
        </w:rPr>
        <w:t>采购需求</w:t>
      </w:r>
    </w:p>
    <w:p w14:paraId="51CAAC1F">
      <w:pPr>
        <w:spacing w:line="360" w:lineRule="auto"/>
        <w:rPr>
          <w:b/>
          <w:sz w:val="28"/>
        </w:rPr>
      </w:pPr>
      <w:r>
        <w:rPr>
          <w:b/>
          <w:sz w:val="28"/>
        </w:rPr>
        <w:t>一、项目概况：</w:t>
      </w:r>
    </w:p>
    <w:p w14:paraId="1EAE87A0">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14:paraId="02046737">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272CD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4C163AE3">
            <w:pPr>
              <w:spacing w:line="360" w:lineRule="auto"/>
              <w:jc w:val="center"/>
            </w:pPr>
            <w:r>
              <w:rPr>
                <w:rFonts w:hint="eastAsia"/>
              </w:rPr>
              <w:t>项目编号</w:t>
            </w:r>
          </w:p>
        </w:tc>
        <w:tc>
          <w:tcPr>
            <w:tcW w:w="1701" w:type="dxa"/>
            <w:vAlign w:val="center"/>
          </w:tcPr>
          <w:p w14:paraId="749E49A4">
            <w:pPr>
              <w:spacing w:line="360" w:lineRule="auto"/>
              <w:jc w:val="center"/>
            </w:pPr>
            <w:r>
              <w:rPr>
                <w:rFonts w:hint="eastAsia"/>
              </w:rPr>
              <w:t>项目</w:t>
            </w:r>
            <w:r>
              <w:t>名称</w:t>
            </w:r>
          </w:p>
        </w:tc>
        <w:tc>
          <w:tcPr>
            <w:tcW w:w="1077" w:type="dxa"/>
            <w:vAlign w:val="center"/>
          </w:tcPr>
          <w:p w14:paraId="7EFCD7AE">
            <w:pPr>
              <w:spacing w:line="360" w:lineRule="auto"/>
              <w:jc w:val="center"/>
            </w:pPr>
            <w:r>
              <w:t>单位</w:t>
            </w:r>
          </w:p>
        </w:tc>
        <w:tc>
          <w:tcPr>
            <w:tcW w:w="1077" w:type="dxa"/>
            <w:vAlign w:val="center"/>
          </w:tcPr>
          <w:p w14:paraId="4CA0A63F">
            <w:pPr>
              <w:spacing w:line="360" w:lineRule="auto"/>
              <w:jc w:val="center"/>
            </w:pPr>
            <w:r>
              <w:t>数量</w:t>
            </w:r>
          </w:p>
        </w:tc>
        <w:tc>
          <w:tcPr>
            <w:tcW w:w="1077" w:type="dxa"/>
            <w:vAlign w:val="center"/>
          </w:tcPr>
          <w:p w14:paraId="61188AAD">
            <w:pPr>
              <w:spacing w:line="360" w:lineRule="auto"/>
              <w:jc w:val="center"/>
            </w:pPr>
            <w:r>
              <w:t>预算单价（</w:t>
            </w:r>
            <w:r>
              <w:rPr>
                <w:rFonts w:hint="eastAsia"/>
              </w:rPr>
              <w:t>万</w:t>
            </w:r>
            <w:r>
              <w:t>元）</w:t>
            </w:r>
          </w:p>
        </w:tc>
        <w:tc>
          <w:tcPr>
            <w:tcW w:w="1077" w:type="dxa"/>
            <w:vAlign w:val="center"/>
          </w:tcPr>
          <w:p w14:paraId="4DB2BA34">
            <w:pPr>
              <w:spacing w:line="360" w:lineRule="auto"/>
              <w:jc w:val="center"/>
            </w:pPr>
            <w:r>
              <w:t>预算总价（</w:t>
            </w:r>
            <w:r>
              <w:rPr>
                <w:rFonts w:hint="eastAsia"/>
              </w:rPr>
              <w:t>万</w:t>
            </w:r>
            <w:r>
              <w:t>元）</w:t>
            </w:r>
          </w:p>
        </w:tc>
        <w:tc>
          <w:tcPr>
            <w:tcW w:w="1134" w:type="dxa"/>
            <w:vAlign w:val="center"/>
          </w:tcPr>
          <w:p w14:paraId="0C8E18B1">
            <w:pPr>
              <w:spacing w:line="360" w:lineRule="auto"/>
              <w:jc w:val="center"/>
              <w:rPr>
                <w:b/>
              </w:rPr>
            </w:pPr>
            <w:r>
              <w:rPr>
                <w:b/>
              </w:rPr>
              <w:t>技术要求</w:t>
            </w:r>
          </w:p>
        </w:tc>
      </w:tr>
      <w:tr w14:paraId="4397C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5893079C">
            <w:pPr>
              <w:jc w:val="center"/>
              <w:rPr>
                <w:rFonts w:hint="default" w:eastAsiaTheme="minorEastAsia"/>
                <w:lang w:val="en-US" w:eastAsia="zh-CN"/>
              </w:rPr>
            </w:pPr>
            <w:r>
              <w:rPr>
                <w:rFonts w:hint="eastAsia"/>
                <w:lang w:val="en-US" w:eastAsia="zh-CN"/>
              </w:rPr>
              <w:t>YL20260098</w:t>
            </w:r>
          </w:p>
        </w:tc>
        <w:tc>
          <w:tcPr>
            <w:tcW w:w="1701" w:type="dxa"/>
            <w:vAlign w:val="center"/>
          </w:tcPr>
          <w:p w14:paraId="4DE3C72F">
            <w:pPr>
              <w:jc w:val="center"/>
            </w:pPr>
            <w:r>
              <w:rPr>
                <w:rFonts w:hint="eastAsia"/>
              </w:rPr>
              <w:t>全自动化学发光免疫分析仪</w:t>
            </w:r>
          </w:p>
        </w:tc>
        <w:tc>
          <w:tcPr>
            <w:tcW w:w="1077" w:type="dxa"/>
            <w:vAlign w:val="center"/>
          </w:tcPr>
          <w:p w14:paraId="68FC9554">
            <w:pPr>
              <w:jc w:val="center"/>
            </w:pPr>
            <w:r>
              <w:rPr>
                <w:rFonts w:hint="eastAsia"/>
              </w:rPr>
              <w:t>台</w:t>
            </w:r>
          </w:p>
        </w:tc>
        <w:tc>
          <w:tcPr>
            <w:tcW w:w="1077" w:type="dxa"/>
            <w:vAlign w:val="center"/>
          </w:tcPr>
          <w:p w14:paraId="315186D2">
            <w:pPr>
              <w:jc w:val="center"/>
            </w:pPr>
            <w:r>
              <w:rPr>
                <w:rFonts w:hint="eastAsia"/>
              </w:rPr>
              <w:t>1</w:t>
            </w:r>
          </w:p>
        </w:tc>
        <w:tc>
          <w:tcPr>
            <w:tcW w:w="1077" w:type="dxa"/>
            <w:vAlign w:val="center"/>
          </w:tcPr>
          <w:p w14:paraId="7D72EF8A">
            <w:pPr>
              <w:jc w:val="center"/>
            </w:pPr>
            <w:r>
              <w:rPr>
                <w:rFonts w:hint="eastAsia"/>
              </w:rPr>
              <w:t>1</w:t>
            </w:r>
          </w:p>
        </w:tc>
        <w:tc>
          <w:tcPr>
            <w:tcW w:w="1077" w:type="dxa"/>
            <w:vAlign w:val="center"/>
          </w:tcPr>
          <w:p w14:paraId="08D33016">
            <w:pPr>
              <w:jc w:val="center"/>
            </w:pPr>
            <w:r>
              <w:rPr>
                <w:rFonts w:hint="eastAsia"/>
              </w:rPr>
              <w:t>1</w:t>
            </w:r>
          </w:p>
        </w:tc>
        <w:tc>
          <w:tcPr>
            <w:tcW w:w="1134" w:type="dxa"/>
            <w:vAlign w:val="center"/>
          </w:tcPr>
          <w:p w14:paraId="23078516">
            <w:pPr>
              <w:jc w:val="center"/>
            </w:pPr>
            <w:r>
              <w:rPr>
                <w:rFonts w:hint="eastAsia"/>
              </w:rPr>
              <w:t>详见附表一</w:t>
            </w:r>
          </w:p>
        </w:tc>
      </w:tr>
    </w:tbl>
    <w:p w14:paraId="75ABBEBC">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494DC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72A9232D">
            <w:r>
              <w:t>参数性质</w:t>
            </w:r>
          </w:p>
        </w:tc>
        <w:tc>
          <w:tcPr>
            <w:tcW w:w="486" w:type="dxa"/>
          </w:tcPr>
          <w:p w14:paraId="594B9E0D">
            <w:r>
              <w:t>序号</w:t>
            </w:r>
          </w:p>
        </w:tc>
        <w:tc>
          <w:tcPr>
            <w:tcW w:w="7500" w:type="dxa"/>
            <w:vAlign w:val="center"/>
          </w:tcPr>
          <w:p w14:paraId="13AC182D">
            <w:pPr>
              <w:jc w:val="center"/>
            </w:pPr>
            <w:r>
              <w:t>具体技术(参数)要求</w:t>
            </w:r>
          </w:p>
        </w:tc>
      </w:tr>
      <w:tr w14:paraId="2AA8E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051CCE54"/>
        </w:tc>
        <w:tc>
          <w:tcPr>
            <w:tcW w:w="486" w:type="dxa"/>
          </w:tcPr>
          <w:p w14:paraId="6E3081E2">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7778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14:paraId="3C01D598">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068A0642">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673D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64C4F9B">
                  <w:pPr>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b/>
                      <w:kern w:val="0"/>
                      <w:sz w:val="22"/>
                      <w:szCs w:val="22"/>
                    </w:rPr>
                    <w:t>1</w:t>
                  </w:r>
                </w:p>
              </w:tc>
              <w:tc>
                <w:tcPr>
                  <w:tcW w:w="6350" w:type="dxa"/>
                  <w:shd w:val="clear" w:color="auto" w:fill="FDE9D9" w:themeFill="accent6" w:themeFillTint="33"/>
                  <w:vAlign w:val="center"/>
                </w:tcPr>
                <w:p w14:paraId="2A25726F">
                  <w:pPr>
                    <w:spacing w:line="240" w:lineRule="atLeast"/>
                    <w:rPr>
                      <w:rFonts w:hint="eastAsia" w:ascii="宋体" w:hAnsi="宋体" w:eastAsia="宋体" w:cs="宋体"/>
                      <w:kern w:val="0"/>
                      <w:sz w:val="22"/>
                      <w:szCs w:val="22"/>
                    </w:rPr>
                  </w:pPr>
                  <w:r>
                    <w:rPr>
                      <w:rFonts w:hint="eastAsia" w:ascii="宋体" w:hAnsi="宋体" w:eastAsia="宋体" w:cs="宋体"/>
                      <w:kern w:val="0"/>
                      <w:sz w:val="22"/>
                      <w:szCs w:val="22"/>
                    </w:rPr>
                    <w:t>设备资质：设备准确度和精密度良好，取得药品监督管理局二类及以上注册证。</w:t>
                  </w:r>
                </w:p>
              </w:tc>
            </w:tr>
            <w:tr w14:paraId="634F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CAB03D7">
                  <w:pPr>
                    <w:jc w:val="center"/>
                    <w:rPr>
                      <w:rFonts w:hint="eastAsia" w:ascii="宋体" w:hAnsi="宋体" w:eastAsia="宋体" w:cs="宋体"/>
                      <w:b/>
                      <w:kern w:val="0"/>
                      <w:sz w:val="22"/>
                      <w:szCs w:val="22"/>
                    </w:rPr>
                  </w:pPr>
                  <w:r>
                    <w:rPr>
                      <w:rFonts w:hint="eastAsia" w:ascii="宋体" w:hAnsi="宋体" w:eastAsia="宋体" w:cs="宋体"/>
                      <w:sz w:val="22"/>
                      <w:szCs w:val="22"/>
                    </w:rPr>
                    <w:t>★</w:t>
                  </w:r>
                  <w:r>
                    <w:rPr>
                      <w:rFonts w:hint="eastAsia" w:ascii="宋体" w:hAnsi="宋体" w:eastAsia="宋体" w:cs="宋体"/>
                      <w:b/>
                      <w:kern w:val="0"/>
                      <w:sz w:val="22"/>
                      <w:szCs w:val="22"/>
                    </w:rPr>
                    <w:t>2</w:t>
                  </w:r>
                </w:p>
              </w:tc>
              <w:tc>
                <w:tcPr>
                  <w:tcW w:w="6350" w:type="dxa"/>
                  <w:shd w:val="clear" w:color="auto" w:fill="FDE9D9" w:themeFill="accent6" w:themeFillTint="33"/>
                  <w:vAlign w:val="center"/>
                </w:tcPr>
                <w:p w14:paraId="6107C5BC">
                  <w:pPr>
                    <w:spacing w:line="240" w:lineRule="atLeast"/>
                    <w:rPr>
                      <w:rFonts w:hint="eastAsia" w:ascii="宋体" w:hAnsi="宋体" w:eastAsia="宋体" w:cs="宋体"/>
                      <w:kern w:val="0"/>
                      <w:sz w:val="22"/>
                      <w:szCs w:val="22"/>
                    </w:rPr>
                  </w:pPr>
                  <w:r>
                    <w:rPr>
                      <w:rFonts w:hint="eastAsia" w:ascii="宋体" w:hAnsi="宋体" w:eastAsia="宋体" w:cs="宋体"/>
                      <w:kern w:val="0"/>
                      <w:sz w:val="22"/>
                      <w:szCs w:val="22"/>
                    </w:rPr>
                    <w:t>子痫前期风险报告软件</w:t>
                  </w:r>
                  <w:r>
                    <w:rPr>
                      <w:rFonts w:hint="eastAsia" w:ascii="宋体" w:hAnsi="宋体" w:eastAsia="宋体" w:cs="宋体"/>
                      <w:kern w:val="0"/>
                      <w:sz w:val="22"/>
                      <w:szCs w:val="22"/>
                      <w:lang w:val="en-US" w:eastAsia="zh-CN"/>
                    </w:rPr>
                    <w:t>及其资质</w:t>
                  </w:r>
                  <w:r>
                    <w:rPr>
                      <w:rFonts w:hint="eastAsia" w:ascii="宋体" w:hAnsi="宋体" w:eastAsia="宋体" w:cs="宋体"/>
                      <w:kern w:val="0"/>
                      <w:sz w:val="22"/>
                      <w:szCs w:val="22"/>
                    </w:rPr>
                    <w:t>：可提供配套的子痫前期风险报告软件，支持子痫前期风险评估并出具报告。软件基于英国胎儿医学基金会大规模数据研发。软件取得药品监督管理局二类及以上注册证。</w:t>
                  </w:r>
                </w:p>
              </w:tc>
            </w:tr>
            <w:tr w14:paraId="2FA5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5D8516A">
                  <w:pPr>
                    <w:jc w:val="center"/>
                    <w:rPr>
                      <w:rFonts w:hint="eastAsia" w:ascii="宋体" w:hAnsi="宋体" w:eastAsia="宋体" w:cs="宋体"/>
                      <w:sz w:val="22"/>
                      <w:szCs w:val="22"/>
                      <w:lang w:val="en-US" w:eastAsia="zh-CN"/>
                    </w:rPr>
                  </w:pPr>
                  <w:r>
                    <w:rPr>
                      <w:rFonts w:hint="eastAsia" w:ascii="宋体" w:hAnsi="宋体" w:eastAsia="宋体" w:cs="宋体"/>
                      <w:sz w:val="22"/>
                      <w:szCs w:val="22"/>
                    </w:rPr>
                    <w:t>★</w:t>
                  </w:r>
                  <w:r>
                    <w:rPr>
                      <w:rFonts w:hint="eastAsia" w:ascii="宋体" w:hAnsi="宋体" w:eastAsia="宋体" w:cs="宋体"/>
                      <w:sz w:val="22"/>
                      <w:szCs w:val="22"/>
                      <w:lang w:val="en-US" w:eastAsia="zh-CN"/>
                    </w:rPr>
                    <w:t>3</w:t>
                  </w:r>
                </w:p>
              </w:tc>
              <w:tc>
                <w:tcPr>
                  <w:tcW w:w="6350" w:type="dxa"/>
                  <w:shd w:val="clear" w:color="auto" w:fill="FDE9D9" w:themeFill="accent6" w:themeFillTint="33"/>
                  <w:vAlign w:val="center"/>
                </w:tcPr>
                <w:p w14:paraId="70B621E3">
                  <w:pPr>
                    <w:spacing w:line="240" w:lineRule="atLeast"/>
                    <w:rPr>
                      <w:rFonts w:hint="eastAsia" w:ascii="宋体" w:hAnsi="宋体" w:eastAsia="宋体" w:cs="宋体"/>
                      <w:kern w:val="0"/>
                      <w:sz w:val="22"/>
                      <w:szCs w:val="22"/>
                      <w:lang w:eastAsia="zh-CN"/>
                    </w:rPr>
                  </w:pPr>
                  <w:r>
                    <w:rPr>
                      <w:rFonts w:hint="eastAsia" w:ascii="宋体" w:hAnsi="宋体" w:eastAsia="宋体" w:cs="宋体"/>
                      <w:kern w:val="0"/>
                      <w:sz w:val="22"/>
                      <w:szCs w:val="22"/>
                    </w:rPr>
                    <w:t>分析仪检测技术原理</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基于主流磁微粒化学发光免疫学方法检测原理。</w:t>
                  </w:r>
                </w:p>
              </w:tc>
            </w:tr>
            <w:tr w14:paraId="536A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DDDE91E">
                  <w:pPr>
                    <w:jc w:val="center"/>
                    <w:rPr>
                      <w:rFonts w:hint="eastAsia" w:ascii="宋体" w:hAnsi="宋体" w:eastAsia="宋体" w:cs="宋体"/>
                      <w:sz w:val="22"/>
                      <w:szCs w:val="22"/>
                      <w:lang w:eastAsia="zh-CN"/>
                    </w:rPr>
                  </w:pPr>
                  <w:r>
                    <w:rPr>
                      <w:rFonts w:hint="eastAsia" w:ascii="宋体" w:hAnsi="宋体" w:eastAsia="宋体" w:cs="宋体"/>
                      <w:sz w:val="22"/>
                      <w:szCs w:val="22"/>
                    </w:rPr>
                    <w:t>★</w:t>
                  </w:r>
                  <w:r>
                    <w:rPr>
                      <w:rFonts w:hint="eastAsia" w:ascii="宋体" w:hAnsi="宋体" w:eastAsia="宋体" w:cs="宋体"/>
                      <w:sz w:val="22"/>
                      <w:szCs w:val="22"/>
                      <w:lang w:val="en-US" w:eastAsia="zh-CN"/>
                    </w:rPr>
                    <w:t>4</w:t>
                  </w:r>
                </w:p>
              </w:tc>
              <w:tc>
                <w:tcPr>
                  <w:tcW w:w="6350" w:type="dxa"/>
                  <w:shd w:val="clear" w:color="auto" w:fill="FDE9D9" w:themeFill="accent6" w:themeFillTint="33"/>
                  <w:vAlign w:val="center"/>
                </w:tcPr>
                <w:p w14:paraId="7AEE0E37">
                  <w:pPr>
                    <w:spacing w:line="240" w:lineRule="atLeast"/>
                    <w:rPr>
                      <w:rFonts w:hint="eastAsia" w:ascii="宋体" w:hAnsi="宋体" w:eastAsia="宋体" w:cs="宋体"/>
                      <w:kern w:val="0"/>
                      <w:sz w:val="22"/>
                      <w:szCs w:val="22"/>
                      <w:lang w:eastAsia="zh-CN"/>
                    </w:rPr>
                  </w:pPr>
                  <w:r>
                    <w:rPr>
                      <w:rFonts w:hint="eastAsia" w:ascii="宋体" w:hAnsi="宋体" w:eastAsia="宋体" w:cs="宋体"/>
                      <w:kern w:val="0"/>
                      <w:sz w:val="22"/>
                      <w:szCs w:val="22"/>
                    </w:rPr>
                    <w:t>检测项目</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覆盖子痫前期相关项目： PLGF、sFlt-1。</w:t>
                  </w:r>
                </w:p>
              </w:tc>
            </w:tr>
            <w:tr w14:paraId="7179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2B20ABE">
                  <w:pPr>
                    <w:jc w:val="center"/>
                    <w:rPr>
                      <w:rFonts w:hint="eastAsia" w:ascii="宋体" w:hAnsi="宋体" w:eastAsia="宋体" w:cs="宋体"/>
                      <w:sz w:val="22"/>
                      <w:szCs w:val="22"/>
                      <w:lang w:val="en-US" w:eastAsia="zh-CN"/>
                    </w:rPr>
                  </w:pPr>
                  <w:r>
                    <w:rPr>
                      <w:rFonts w:hint="eastAsia" w:ascii="宋体" w:hAnsi="宋体" w:eastAsia="宋体" w:cs="宋体"/>
                      <w:sz w:val="22"/>
                      <w:szCs w:val="22"/>
                    </w:rPr>
                    <w:t>★</w:t>
                  </w:r>
                  <w:r>
                    <w:rPr>
                      <w:rFonts w:hint="eastAsia" w:ascii="宋体" w:hAnsi="宋体" w:eastAsia="宋体" w:cs="宋体"/>
                      <w:sz w:val="22"/>
                      <w:szCs w:val="22"/>
                      <w:lang w:val="en-US" w:eastAsia="zh-CN"/>
                    </w:rPr>
                    <w:t>5</w:t>
                  </w:r>
                </w:p>
              </w:tc>
              <w:tc>
                <w:tcPr>
                  <w:tcW w:w="6350" w:type="dxa"/>
                  <w:shd w:val="clear" w:color="auto" w:fill="FDE9D9" w:themeFill="accent6" w:themeFillTint="33"/>
                  <w:vAlign w:val="center"/>
                </w:tcPr>
                <w:p w14:paraId="5D8569F3">
                  <w:pPr>
                    <w:spacing w:line="240" w:lineRule="atLeast"/>
                    <w:rPr>
                      <w:rFonts w:hint="eastAsia" w:ascii="宋体" w:hAnsi="宋体" w:eastAsia="宋体" w:cs="宋体"/>
                      <w:kern w:val="0"/>
                      <w:sz w:val="22"/>
                      <w:szCs w:val="22"/>
                      <w:lang w:eastAsia="zh-CN"/>
                    </w:rPr>
                  </w:pPr>
                  <w:r>
                    <w:rPr>
                      <w:rFonts w:hint="eastAsia" w:ascii="宋体" w:hAnsi="宋体" w:eastAsia="宋体" w:cs="宋体"/>
                      <w:kern w:val="0"/>
                      <w:sz w:val="22"/>
                      <w:szCs w:val="22"/>
                    </w:rPr>
                    <w:t>配套可溶性fms样酪氨酸激酶-1（sFlt-1)试剂盒</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可定量检测孕妇血清样本中的可溶性fms样酪氨酸激酶-1（sFlt-1) 的含量，试剂盒取得药品监督管理局二类及以上注册证。</w:t>
                  </w:r>
                </w:p>
              </w:tc>
            </w:tr>
            <w:tr w14:paraId="0F47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DE2FEE1">
                  <w:pPr>
                    <w:jc w:val="center"/>
                    <w:rPr>
                      <w:rFonts w:hint="eastAsia" w:ascii="宋体" w:hAnsi="宋体" w:eastAsia="宋体" w:cs="宋体"/>
                      <w:sz w:val="22"/>
                      <w:szCs w:val="22"/>
                      <w:lang w:val="en-US" w:eastAsia="zh-CN"/>
                    </w:rPr>
                  </w:pPr>
                  <w:r>
                    <w:rPr>
                      <w:rFonts w:hint="eastAsia" w:ascii="宋体" w:hAnsi="宋体" w:eastAsia="宋体" w:cs="宋体"/>
                      <w:sz w:val="22"/>
                      <w:szCs w:val="22"/>
                    </w:rPr>
                    <w:t>★</w:t>
                  </w:r>
                  <w:r>
                    <w:rPr>
                      <w:rFonts w:hint="eastAsia" w:ascii="宋体" w:hAnsi="宋体" w:eastAsia="宋体" w:cs="宋体"/>
                      <w:sz w:val="22"/>
                      <w:szCs w:val="22"/>
                      <w:lang w:val="en-US" w:eastAsia="zh-CN"/>
                    </w:rPr>
                    <w:t>6</w:t>
                  </w:r>
                </w:p>
              </w:tc>
              <w:tc>
                <w:tcPr>
                  <w:tcW w:w="6350" w:type="dxa"/>
                  <w:shd w:val="clear" w:color="auto" w:fill="FDE9D9" w:themeFill="accent6" w:themeFillTint="33"/>
                  <w:vAlign w:val="center"/>
                </w:tcPr>
                <w:p w14:paraId="6151FDDC">
                  <w:pPr>
                    <w:spacing w:line="240" w:lineRule="atLeast"/>
                    <w:rPr>
                      <w:rFonts w:hint="eastAsia" w:ascii="宋体" w:hAnsi="宋体" w:eastAsia="宋体" w:cs="宋体"/>
                      <w:kern w:val="0"/>
                      <w:sz w:val="22"/>
                      <w:szCs w:val="22"/>
                      <w:lang w:eastAsia="zh-CN"/>
                    </w:rPr>
                  </w:pPr>
                  <w:r>
                    <w:rPr>
                      <w:rFonts w:hint="eastAsia" w:ascii="宋体" w:hAnsi="宋体" w:eastAsia="宋体" w:cs="宋体"/>
                      <w:kern w:val="0"/>
                      <w:sz w:val="22"/>
                      <w:szCs w:val="22"/>
                    </w:rPr>
                    <w:t>配套胎盘生长因子（PLGF)试剂盒</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可定量检测孕妇血清样本中的胎盘生长因子（PLGF) 的含量，试剂盒取得药品监督管理局二类及以上注册证。</w:t>
                  </w:r>
                </w:p>
              </w:tc>
            </w:tr>
            <w:tr w14:paraId="1976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8973EDD">
                  <w:pPr>
                    <w:jc w:val="center"/>
                    <w:rPr>
                      <w:rFonts w:hint="eastAsia" w:ascii="宋体" w:hAnsi="宋体" w:eastAsia="宋体" w:cs="宋体"/>
                      <w:sz w:val="22"/>
                      <w:szCs w:val="22"/>
                      <w:lang w:val="en-US" w:eastAsia="zh-CN"/>
                    </w:rPr>
                  </w:pPr>
                  <w:r>
                    <w:rPr>
                      <w:rFonts w:hint="eastAsia" w:ascii="宋体" w:hAnsi="宋体" w:eastAsia="宋体" w:cs="宋体"/>
                      <w:kern w:val="0"/>
                      <w:sz w:val="22"/>
                      <w:szCs w:val="22"/>
                    </w:rPr>
                    <w:t>▲</w:t>
                  </w:r>
                  <w:r>
                    <w:rPr>
                      <w:rFonts w:hint="eastAsia" w:ascii="宋体" w:hAnsi="宋体" w:eastAsia="宋体" w:cs="宋体"/>
                      <w:sz w:val="22"/>
                      <w:szCs w:val="22"/>
                      <w:lang w:val="en-US" w:eastAsia="zh-CN"/>
                    </w:rPr>
                    <w:t>7</w:t>
                  </w:r>
                </w:p>
              </w:tc>
              <w:tc>
                <w:tcPr>
                  <w:tcW w:w="6350" w:type="dxa"/>
                  <w:shd w:val="clear" w:color="auto" w:fill="FDE9D9" w:themeFill="accent6" w:themeFillTint="33"/>
                  <w:vAlign w:val="center"/>
                </w:tcPr>
                <w:p w14:paraId="38855E26">
                  <w:pPr>
                    <w:spacing w:line="240" w:lineRule="atLeast"/>
                    <w:rPr>
                      <w:rFonts w:hint="eastAsia" w:ascii="宋体" w:hAnsi="宋体" w:eastAsia="宋体" w:cs="宋体"/>
                      <w:kern w:val="0"/>
                      <w:sz w:val="22"/>
                      <w:szCs w:val="22"/>
                      <w:lang w:eastAsia="zh-CN"/>
                    </w:rPr>
                  </w:pPr>
                  <w:r>
                    <w:rPr>
                      <w:rFonts w:hint="eastAsia" w:ascii="宋体" w:hAnsi="宋体" w:eastAsia="宋体" w:cs="宋体"/>
                      <w:kern w:val="0"/>
                      <w:sz w:val="22"/>
                      <w:szCs w:val="22"/>
                    </w:rPr>
                    <w:t>试剂包装</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配套子痫前期检测试剂支持单人份独立包装，随用随开。</w:t>
                  </w:r>
                </w:p>
              </w:tc>
            </w:tr>
            <w:tr w14:paraId="4A40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DDB8BE2">
                  <w:pPr>
                    <w:jc w:val="center"/>
                    <w:rPr>
                      <w:rFonts w:hint="eastAsia" w:ascii="宋体" w:hAnsi="宋体" w:eastAsia="宋体" w:cs="宋体"/>
                      <w:sz w:val="22"/>
                      <w:szCs w:val="22"/>
                      <w:lang w:val="en-US" w:eastAsia="zh-CN"/>
                    </w:rPr>
                  </w:pPr>
                  <w:r>
                    <w:rPr>
                      <w:rFonts w:hint="eastAsia" w:ascii="宋体" w:hAnsi="宋体" w:eastAsia="宋体" w:cs="宋体"/>
                      <w:kern w:val="0"/>
                      <w:sz w:val="22"/>
                      <w:szCs w:val="22"/>
                    </w:rPr>
                    <w:t>▲</w:t>
                  </w:r>
                  <w:r>
                    <w:rPr>
                      <w:rFonts w:hint="eastAsia" w:ascii="宋体" w:hAnsi="宋体" w:eastAsia="宋体" w:cs="宋体"/>
                      <w:sz w:val="22"/>
                      <w:szCs w:val="22"/>
                      <w:lang w:val="en-US" w:eastAsia="zh-CN"/>
                    </w:rPr>
                    <w:t>8</w:t>
                  </w:r>
                </w:p>
              </w:tc>
              <w:tc>
                <w:tcPr>
                  <w:tcW w:w="6350" w:type="dxa"/>
                  <w:shd w:val="clear" w:color="auto" w:fill="FDE9D9" w:themeFill="accent6" w:themeFillTint="33"/>
                  <w:vAlign w:val="center"/>
                </w:tcPr>
                <w:p w14:paraId="4222FA0B">
                  <w:pPr>
                    <w:spacing w:line="240" w:lineRule="atLeast"/>
                    <w:rPr>
                      <w:rFonts w:hint="eastAsia" w:ascii="宋体" w:hAnsi="宋体" w:eastAsia="宋体" w:cs="宋体"/>
                      <w:kern w:val="0"/>
                      <w:sz w:val="22"/>
                      <w:szCs w:val="22"/>
                      <w:lang w:eastAsia="zh-CN"/>
                    </w:rPr>
                  </w:pPr>
                  <w:r>
                    <w:rPr>
                      <w:rFonts w:hint="eastAsia" w:ascii="宋体" w:hAnsi="宋体" w:eastAsia="宋体" w:cs="宋体"/>
                      <w:kern w:val="0"/>
                      <w:sz w:val="22"/>
                      <w:szCs w:val="22"/>
                    </w:rPr>
                    <w:t>试剂有效期</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胎盘生长因子（PLGF)检测试剂盒及可溶性fms样酪氨酸激酶-1（sFlt-1)试剂盒，需支持2~8℃保存，有效期≥18个月</w:t>
                  </w:r>
                </w:p>
              </w:tc>
            </w:tr>
            <w:tr w14:paraId="7A6A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67559E6">
                  <w:pPr>
                    <w:jc w:val="center"/>
                    <w:rPr>
                      <w:rFonts w:hint="eastAsia" w:ascii="宋体" w:hAnsi="宋体" w:eastAsia="宋体" w:cs="宋体"/>
                      <w:sz w:val="22"/>
                      <w:szCs w:val="22"/>
                      <w:lang w:val="en-US" w:eastAsia="zh-CN"/>
                    </w:rPr>
                  </w:pPr>
                  <w:r>
                    <w:rPr>
                      <w:rFonts w:hint="eastAsia" w:ascii="宋体" w:hAnsi="宋体" w:eastAsia="宋体" w:cs="宋体"/>
                      <w:kern w:val="0"/>
                      <w:sz w:val="22"/>
                      <w:szCs w:val="22"/>
                    </w:rPr>
                    <w:t>▲</w:t>
                  </w:r>
                  <w:r>
                    <w:rPr>
                      <w:rFonts w:hint="eastAsia" w:ascii="宋体" w:hAnsi="宋体" w:eastAsia="宋体" w:cs="宋体"/>
                      <w:sz w:val="22"/>
                      <w:szCs w:val="22"/>
                      <w:lang w:val="en-US" w:eastAsia="zh-CN"/>
                    </w:rPr>
                    <w:t>9</w:t>
                  </w:r>
                </w:p>
              </w:tc>
              <w:tc>
                <w:tcPr>
                  <w:tcW w:w="6350" w:type="dxa"/>
                  <w:shd w:val="clear" w:color="auto" w:fill="FDE9D9" w:themeFill="accent6" w:themeFillTint="33"/>
                  <w:vAlign w:val="center"/>
                </w:tcPr>
                <w:p w14:paraId="21626228">
                  <w:pPr>
                    <w:spacing w:line="360" w:lineRule="auto"/>
                    <w:jc w:val="left"/>
                    <w:rPr>
                      <w:rFonts w:hint="eastAsia" w:ascii="宋体" w:hAnsi="宋体" w:eastAsia="宋体" w:cs="宋体"/>
                      <w:kern w:val="0"/>
                      <w:sz w:val="22"/>
                      <w:szCs w:val="22"/>
                      <w:lang w:eastAsia="zh-CN"/>
                    </w:rPr>
                  </w:pPr>
                  <w:r>
                    <w:rPr>
                      <w:rFonts w:hint="eastAsia" w:ascii="宋体" w:hAnsi="宋体" w:eastAsia="宋体" w:cs="宋体"/>
                      <w:kern w:val="0"/>
                      <w:sz w:val="22"/>
                      <w:szCs w:val="22"/>
                    </w:rPr>
                    <w:t>配套试剂盒性能</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批内重复性：变异系数（CV）≤8%；批间差异：变异系数（CV）≤10%。准确度及线性范围越优越好。</w:t>
                  </w:r>
                </w:p>
              </w:tc>
            </w:tr>
            <w:tr w14:paraId="3C3A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C9E7CEB">
                  <w:pPr>
                    <w:jc w:val="center"/>
                    <w:rPr>
                      <w:rFonts w:hint="eastAsia" w:ascii="宋体" w:hAnsi="宋体" w:eastAsia="宋体" w:cs="宋体"/>
                      <w:sz w:val="22"/>
                      <w:szCs w:val="22"/>
                      <w:lang w:val="en-US" w:eastAsia="zh-CN"/>
                    </w:rPr>
                  </w:pPr>
                  <w:r>
                    <w:rPr>
                      <w:rFonts w:hint="eastAsia" w:ascii="宋体" w:hAnsi="宋体" w:eastAsia="宋体" w:cs="宋体"/>
                      <w:kern w:val="0"/>
                      <w:sz w:val="22"/>
                      <w:szCs w:val="22"/>
                    </w:rPr>
                    <w:t>▲</w:t>
                  </w:r>
                  <w:r>
                    <w:rPr>
                      <w:rFonts w:hint="eastAsia" w:ascii="宋体" w:hAnsi="宋体" w:eastAsia="宋体" w:cs="宋体"/>
                      <w:sz w:val="22"/>
                      <w:szCs w:val="22"/>
                      <w:lang w:val="en-US" w:eastAsia="zh-CN"/>
                    </w:rPr>
                    <w:t>10</w:t>
                  </w:r>
                </w:p>
              </w:tc>
              <w:tc>
                <w:tcPr>
                  <w:tcW w:w="6350" w:type="dxa"/>
                  <w:shd w:val="clear" w:color="auto" w:fill="FDE9D9" w:themeFill="accent6" w:themeFillTint="33"/>
                  <w:vAlign w:val="center"/>
                </w:tcPr>
                <w:p w14:paraId="3D08C489">
                  <w:pPr>
                    <w:spacing w:line="240" w:lineRule="atLeast"/>
                    <w:rPr>
                      <w:rFonts w:hint="eastAsia" w:ascii="宋体" w:hAnsi="宋体" w:eastAsia="宋体" w:cs="宋体"/>
                      <w:kern w:val="0"/>
                      <w:sz w:val="22"/>
                      <w:szCs w:val="22"/>
                      <w:lang w:eastAsia="zh-CN"/>
                    </w:rPr>
                  </w:pPr>
                  <w:r>
                    <w:rPr>
                      <w:rFonts w:hint="eastAsia" w:ascii="宋体" w:hAnsi="宋体" w:eastAsia="宋体" w:cs="宋体"/>
                      <w:kern w:val="0"/>
                      <w:sz w:val="22"/>
                      <w:szCs w:val="22"/>
                    </w:rPr>
                    <w:t>仪器试剂位</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仪器的子痫前期检测试剂位可扩展至≥90个，支持自动进样。</w:t>
                  </w:r>
                </w:p>
              </w:tc>
            </w:tr>
            <w:tr w14:paraId="5AD2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B3533A1">
                  <w:pPr>
                    <w:jc w:val="center"/>
                    <w:rPr>
                      <w:rFonts w:hint="eastAsia" w:ascii="宋体" w:hAnsi="宋体" w:eastAsia="宋体" w:cs="宋体"/>
                      <w:sz w:val="22"/>
                      <w:szCs w:val="22"/>
                      <w:lang w:val="en-US" w:eastAsia="zh-CN"/>
                    </w:rPr>
                  </w:pPr>
                  <w:r>
                    <w:rPr>
                      <w:rFonts w:hint="eastAsia" w:ascii="宋体" w:hAnsi="宋体" w:eastAsia="宋体" w:cs="宋体"/>
                      <w:kern w:val="0"/>
                      <w:sz w:val="22"/>
                      <w:szCs w:val="22"/>
                    </w:rPr>
                    <w:t>▲</w:t>
                  </w:r>
                  <w:r>
                    <w:rPr>
                      <w:rFonts w:hint="eastAsia" w:ascii="宋体" w:hAnsi="宋体" w:eastAsia="宋体" w:cs="宋体"/>
                      <w:sz w:val="22"/>
                      <w:szCs w:val="22"/>
                      <w:lang w:val="en-US" w:eastAsia="zh-CN"/>
                    </w:rPr>
                    <w:t>11</w:t>
                  </w:r>
                </w:p>
              </w:tc>
              <w:tc>
                <w:tcPr>
                  <w:tcW w:w="6350" w:type="dxa"/>
                  <w:shd w:val="clear" w:color="auto" w:fill="FDE9D9" w:themeFill="accent6" w:themeFillTint="33"/>
                  <w:vAlign w:val="center"/>
                </w:tcPr>
                <w:p w14:paraId="495D276A">
                  <w:pPr>
                    <w:spacing w:line="240" w:lineRule="atLeast"/>
                    <w:rPr>
                      <w:rFonts w:hint="eastAsia" w:ascii="宋体" w:hAnsi="宋体" w:eastAsia="宋体" w:cs="宋体"/>
                      <w:kern w:val="0"/>
                      <w:sz w:val="22"/>
                      <w:szCs w:val="22"/>
                      <w:lang w:eastAsia="zh-CN"/>
                    </w:rPr>
                  </w:pPr>
                  <w:r>
                    <w:rPr>
                      <w:rFonts w:hint="eastAsia" w:ascii="宋体" w:hAnsi="宋体" w:eastAsia="宋体" w:cs="宋体"/>
                      <w:kern w:val="0"/>
                      <w:sz w:val="22"/>
                      <w:szCs w:val="22"/>
                    </w:rPr>
                    <w:t xml:space="preserve">仪器拓展性 </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仪器具有可拓展性，在子痫前期项目以外，能开展以下唐氏筛查相关检测项目：妊娠相关血浆蛋白A(PAPP-A)、游离绒毛膜促性腺激素β亚基(Free hCGβ)、甲胎蛋白(AFP)、游离雌三醇(uE3)、抑制素A(inbihin A)。</w:t>
                  </w:r>
                </w:p>
              </w:tc>
            </w:tr>
            <w:tr w14:paraId="690C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5E67E5D">
                  <w:pPr>
                    <w:jc w:val="center"/>
                    <w:rPr>
                      <w:rFonts w:hint="eastAsia" w:ascii="宋体" w:hAnsi="宋体" w:eastAsia="宋体" w:cs="宋体"/>
                      <w:sz w:val="22"/>
                      <w:szCs w:val="22"/>
                      <w:lang w:val="en-US" w:eastAsia="zh-CN"/>
                    </w:rPr>
                  </w:pPr>
                  <w:r>
                    <w:rPr>
                      <w:rFonts w:hint="eastAsia" w:ascii="宋体" w:hAnsi="宋体" w:eastAsia="宋体" w:cs="宋体"/>
                      <w:kern w:val="0"/>
                      <w:sz w:val="22"/>
                      <w:szCs w:val="22"/>
                    </w:rPr>
                    <w:t>▲</w:t>
                  </w:r>
                  <w:r>
                    <w:rPr>
                      <w:rFonts w:hint="eastAsia" w:ascii="宋体" w:hAnsi="宋体" w:eastAsia="宋体" w:cs="宋体"/>
                      <w:sz w:val="22"/>
                      <w:szCs w:val="22"/>
                      <w:lang w:val="en-US" w:eastAsia="zh-CN"/>
                    </w:rPr>
                    <w:t>12</w:t>
                  </w:r>
                </w:p>
              </w:tc>
              <w:tc>
                <w:tcPr>
                  <w:tcW w:w="6350" w:type="dxa"/>
                  <w:shd w:val="clear" w:color="auto" w:fill="FDE9D9" w:themeFill="accent6" w:themeFillTint="33"/>
                  <w:vAlign w:val="center"/>
                </w:tcPr>
                <w:p w14:paraId="68EB9C71">
                  <w:pPr>
                    <w:spacing w:line="240" w:lineRule="atLeast"/>
                    <w:rPr>
                      <w:rFonts w:hint="eastAsia" w:ascii="宋体" w:hAnsi="宋体" w:eastAsia="宋体" w:cs="宋体"/>
                      <w:kern w:val="0"/>
                      <w:sz w:val="22"/>
                      <w:szCs w:val="22"/>
                      <w:lang w:eastAsia="zh-CN"/>
                    </w:rPr>
                  </w:pPr>
                  <w:r>
                    <w:rPr>
                      <w:rFonts w:hint="eastAsia" w:ascii="宋体" w:hAnsi="宋体" w:eastAsia="宋体" w:cs="宋体"/>
                      <w:kern w:val="0"/>
                      <w:sz w:val="22"/>
                      <w:szCs w:val="22"/>
                    </w:rPr>
                    <w:t>设备数据传送功能</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仪器具有双向通讯功能，可连接 LIS/HIS 系统，风险评估软件数据可连接LIS/HIS 系统。</w:t>
                  </w:r>
                </w:p>
              </w:tc>
            </w:tr>
            <w:tr w14:paraId="0FAE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011255E">
                  <w:pPr>
                    <w:jc w:val="center"/>
                    <w:rPr>
                      <w:rFonts w:hint="eastAsia" w:ascii="宋体" w:hAnsi="宋体" w:eastAsia="宋体" w:cs="宋体"/>
                      <w:sz w:val="22"/>
                      <w:szCs w:val="22"/>
                      <w:lang w:val="en-US" w:eastAsia="zh-CN"/>
                    </w:rPr>
                  </w:pPr>
                  <w:r>
                    <w:rPr>
                      <w:rFonts w:hint="eastAsia" w:ascii="宋体" w:hAnsi="宋体" w:eastAsia="宋体" w:cs="宋体"/>
                      <w:kern w:val="0"/>
                      <w:sz w:val="22"/>
                      <w:szCs w:val="22"/>
                    </w:rPr>
                    <w:t>▲</w:t>
                  </w:r>
                  <w:r>
                    <w:rPr>
                      <w:rFonts w:hint="eastAsia" w:ascii="宋体" w:hAnsi="宋体" w:eastAsia="宋体" w:cs="宋体"/>
                      <w:sz w:val="22"/>
                      <w:szCs w:val="22"/>
                      <w:lang w:val="en-US" w:eastAsia="zh-CN"/>
                    </w:rPr>
                    <w:t>13</w:t>
                  </w:r>
                </w:p>
              </w:tc>
              <w:tc>
                <w:tcPr>
                  <w:tcW w:w="6350" w:type="dxa"/>
                  <w:shd w:val="clear" w:color="auto" w:fill="FDE9D9" w:themeFill="accent6" w:themeFillTint="33"/>
                  <w:vAlign w:val="center"/>
                </w:tcPr>
                <w:p w14:paraId="47553EB6">
                  <w:pPr>
                    <w:spacing w:line="240" w:lineRule="atLeast"/>
                    <w:rPr>
                      <w:rFonts w:hint="eastAsia" w:ascii="宋体" w:hAnsi="宋体" w:eastAsia="宋体" w:cs="宋体"/>
                      <w:kern w:val="0"/>
                      <w:sz w:val="22"/>
                      <w:szCs w:val="22"/>
                      <w:lang w:eastAsia="zh-CN"/>
                    </w:rPr>
                  </w:pPr>
                  <w:r>
                    <w:rPr>
                      <w:rFonts w:hint="eastAsia" w:ascii="宋体" w:hAnsi="宋体" w:eastAsia="宋体" w:cs="宋体"/>
                      <w:kern w:val="0"/>
                      <w:sz w:val="22"/>
                      <w:szCs w:val="22"/>
                    </w:rPr>
                    <w:t>仪器维修保养服务</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提供仪器设备的终身免费的上门维修、故障零部件更换、维护保养等服务。</w:t>
                  </w:r>
                </w:p>
              </w:tc>
            </w:tr>
            <w:tr w14:paraId="4FE3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7137804">
                  <w:pPr>
                    <w:jc w:val="center"/>
                    <w:rPr>
                      <w:rFonts w:hint="eastAsia" w:ascii="宋体" w:hAnsi="宋体" w:eastAsia="宋体" w:cs="宋体"/>
                      <w:sz w:val="22"/>
                      <w:szCs w:val="22"/>
                      <w:lang w:val="en-US" w:eastAsia="zh-CN"/>
                    </w:rPr>
                  </w:pPr>
                  <w:r>
                    <w:rPr>
                      <w:rFonts w:hint="eastAsia" w:ascii="宋体" w:hAnsi="宋体" w:eastAsia="宋体" w:cs="宋体"/>
                      <w:kern w:val="0"/>
                      <w:sz w:val="22"/>
                      <w:szCs w:val="22"/>
                    </w:rPr>
                    <w:t>▲</w:t>
                  </w:r>
                  <w:r>
                    <w:rPr>
                      <w:rFonts w:hint="eastAsia" w:ascii="宋体" w:hAnsi="宋体" w:eastAsia="宋体" w:cs="宋体"/>
                      <w:sz w:val="22"/>
                      <w:szCs w:val="22"/>
                      <w:lang w:val="en-US" w:eastAsia="zh-CN"/>
                    </w:rPr>
                    <w:t>14</w:t>
                  </w:r>
                </w:p>
              </w:tc>
              <w:tc>
                <w:tcPr>
                  <w:tcW w:w="6350" w:type="dxa"/>
                  <w:shd w:val="clear" w:color="auto" w:fill="FDE9D9" w:themeFill="accent6" w:themeFillTint="33"/>
                  <w:vAlign w:val="center"/>
                </w:tcPr>
                <w:p w14:paraId="4BFB96BB">
                  <w:pPr>
                    <w:spacing w:line="240" w:lineRule="atLeast"/>
                    <w:rPr>
                      <w:rFonts w:hint="eastAsia" w:ascii="宋体" w:hAnsi="宋体" w:eastAsia="宋体" w:cs="宋体"/>
                      <w:kern w:val="0"/>
                      <w:sz w:val="22"/>
                      <w:szCs w:val="22"/>
                      <w:lang w:eastAsia="zh-CN"/>
                    </w:rPr>
                  </w:pPr>
                  <w:r>
                    <w:rPr>
                      <w:rFonts w:hint="eastAsia" w:ascii="宋体" w:hAnsi="宋体" w:eastAsia="宋体" w:cs="宋体"/>
                      <w:kern w:val="0"/>
                      <w:sz w:val="22"/>
                      <w:szCs w:val="22"/>
                    </w:rPr>
                    <w:t>配套其他试剂耗材</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终身免费提供匹配日常实验数量的室内质控品、所需实验耗材等试剂耗材。</w:t>
                  </w:r>
                </w:p>
              </w:tc>
            </w:tr>
          </w:tbl>
          <w:p w14:paraId="633D5FC0">
            <w:pPr>
              <w:spacing w:line="360" w:lineRule="auto"/>
            </w:pPr>
          </w:p>
        </w:tc>
      </w:tr>
      <w:tr w14:paraId="2DF43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523C1C42"/>
        </w:tc>
        <w:tc>
          <w:tcPr>
            <w:tcW w:w="486" w:type="dxa"/>
          </w:tcPr>
          <w:p w14:paraId="76FC9CAC">
            <w:r>
              <w:rPr>
                <w:rFonts w:hint="eastAsia"/>
              </w:rPr>
              <w:t>2</w:t>
            </w:r>
          </w:p>
        </w:tc>
        <w:tc>
          <w:tcPr>
            <w:tcW w:w="7500" w:type="dxa"/>
          </w:tcPr>
          <w:p w14:paraId="54C947FB">
            <w:pPr>
              <w:spacing w:line="360" w:lineRule="auto"/>
              <w:jc w:val="left"/>
            </w:pPr>
            <w:r>
              <w:rPr>
                <w:rFonts w:hint="eastAsia"/>
              </w:rPr>
              <w:t>货物要求：</w:t>
            </w:r>
          </w:p>
          <w:p w14:paraId="5FDDAEFF">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1EDFD355">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74F5E756">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4CE59241">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411F461D">
            <w:pPr>
              <w:spacing w:line="360" w:lineRule="auto"/>
              <w:jc w:val="left"/>
              <w:rPr>
                <w:rFonts w:hint="eastAsia"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p w14:paraId="5861BC00">
            <w:pPr>
              <w:spacing w:line="360" w:lineRule="auto"/>
              <w:jc w:val="left"/>
              <w:rPr>
                <w:rFonts w:hint="eastAsia" w:asciiTheme="minorEastAsia" w:hAnsiTheme="minorEastAsia"/>
              </w:rPr>
            </w:pPr>
            <w:r>
              <w:rPr>
                <w:rFonts w:hint="eastAsia" w:asciiTheme="minorEastAsia" w:hAnsiTheme="minorEastAsia"/>
              </w:rPr>
              <w:t>6.承诺验收不合格时无条件退货，费用由供应商承担。</w:t>
            </w:r>
            <w:bookmarkStart w:id="0" w:name="_GoBack"/>
            <w:bookmarkEnd w:id="0"/>
          </w:p>
        </w:tc>
      </w:tr>
      <w:tr w14:paraId="2791A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145EBB5C">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002C4279">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615F2507">
      <w:pPr>
        <w:pStyle w:val="7"/>
        <w:ind w:left="0" w:leftChars="0" w:firstLine="0" w:firstLineChars="0"/>
      </w:pPr>
    </w:p>
    <w:p w14:paraId="371B0D59">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6E350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DA2CD91">
            <w:pPr>
              <w:spacing w:line="360" w:lineRule="auto"/>
            </w:pPr>
            <w:r>
              <w:rPr>
                <w:rFonts w:hint="eastAsia"/>
              </w:rPr>
              <w:t>① 供货</w:t>
            </w:r>
            <w:r>
              <w:t>时间</w:t>
            </w:r>
          </w:p>
        </w:tc>
        <w:tc>
          <w:tcPr>
            <w:tcW w:w="6663" w:type="dxa"/>
          </w:tcPr>
          <w:p w14:paraId="6C69F5E1">
            <w:pPr>
              <w:spacing w:line="360" w:lineRule="auto"/>
            </w:pPr>
            <w:r>
              <w:rPr>
                <w:rFonts w:hint="eastAsia"/>
              </w:rPr>
              <w:t>合同签订生效后30个日历天内，完成到货安装调试并提交采购人试用。</w:t>
            </w:r>
          </w:p>
        </w:tc>
      </w:tr>
      <w:tr w14:paraId="0F0DE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A07F5FF">
            <w:pPr>
              <w:spacing w:line="360" w:lineRule="auto"/>
            </w:pPr>
            <w:r>
              <w:rPr>
                <w:rFonts w:hint="eastAsia"/>
              </w:rPr>
              <w:t>② 供货</w:t>
            </w:r>
            <w:r>
              <w:t>地点</w:t>
            </w:r>
          </w:p>
        </w:tc>
        <w:tc>
          <w:tcPr>
            <w:tcW w:w="6663" w:type="dxa"/>
          </w:tcPr>
          <w:p w14:paraId="03FF25D5">
            <w:pPr>
              <w:spacing w:line="360" w:lineRule="auto"/>
            </w:pPr>
            <w:r>
              <w:rPr>
                <w:rFonts w:hint="eastAsia"/>
                <w:color w:val="000000" w:themeColor="text1"/>
                <w14:textFill>
                  <w14:solidFill>
                    <w14:schemeClr w14:val="tx1"/>
                  </w14:solidFill>
                </w14:textFill>
              </w:rPr>
              <w:t>采购人</w:t>
            </w:r>
            <w:r>
              <w:t>指定地点</w:t>
            </w:r>
          </w:p>
        </w:tc>
      </w:tr>
      <w:tr w14:paraId="0DD82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39D1EFC5">
            <w:pPr>
              <w:spacing w:line="360" w:lineRule="auto"/>
            </w:pPr>
            <w:r>
              <w:rPr>
                <w:rFonts w:hint="eastAsia"/>
              </w:rPr>
              <w:t xml:space="preserve">③ </w:t>
            </w:r>
            <w:r>
              <w:t>付款方式</w:t>
            </w:r>
          </w:p>
        </w:tc>
        <w:tc>
          <w:tcPr>
            <w:tcW w:w="6663" w:type="dxa"/>
          </w:tcPr>
          <w:p w14:paraId="30121396">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2881F152">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050E0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22CF4A7">
            <w:pPr>
              <w:spacing w:line="360" w:lineRule="auto"/>
            </w:pPr>
            <w:r>
              <w:rPr>
                <w:rFonts w:hint="eastAsia"/>
              </w:rPr>
              <w:t xml:space="preserve">④ </w:t>
            </w:r>
            <w:r>
              <w:t>验收要求</w:t>
            </w:r>
          </w:p>
        </w:tc>
        <w:tc>
          <w:tcPr>
            <w:tcW w:w="6663" w:type="dxa"/>
          </w:tcPr>
          <w:p w14:paraId="18A32033">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4DA0A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16E2651">
            <w:pPr>
              <w:spacing w:line="360" w:lineRule="auto"/>
            </w:pPr>
            <w:r>
              <w:rPr>
                <w:rFonts w:hint="eastAsia"/>
              </w:rPr>
              <w:t xml:space="preserve">⑤ </w:t>
            </w:r>
            <w:r>
              <w:t>其他</w:t>
            </w:r>
            <w:r>
              <w:rPr>
                <w:rFonts w:hint="eastAsia"/>
              </w:rPr>
              <w:t>要求</w:t>
            </w:r>
          </w:p>
        </w:tc>
        <w:tc>
          <w:tcPr>
            <w:tcW w:w="6663" w:type="dxa"/>
          </w:tcPr>
          <w:p w14:paraId="53778889">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00F74703">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4A20E891">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28CA3A90">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0D824606">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2BAC7DF4">
            <w:pPr>
              <w:spacing w:line="360" w:lineRule="auto"/>
              <w:jc w:val="left"/>
              <w:rPr>
                <w:bCs/>
                <w:szCs w:val="21"/>
              </w:rPr>
            </w:pPr>
            <w:r>
              <w:rPr>
                <w:rFonts w:hint="eastAsia"/>
                <w:bCs/>
                <w:szCs w:val="21"/>
              </w:rPr>
              <w:t>（3）承担设备首次计量校准费用。</w:t>
            </w:r>
          </w:p>
          <w:p w14:paraId="0EB216C1">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74C930E4">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6E62EF94">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C2191"/>
    <w:rsid w:val="000C2559"/>
    <w:rsid w:val="000C7E78"/>
    <w:rsid w:val="000F2543"/>
    <w:rsid w:val="000F2734"/>
    <w:rsid w:val="000F75BA"/>
    <w:rsid w:val="00111C33"/>
    <w:rsid w:val="00140B25"/>
    <w:rsid w:val="0019461C"/>
    <w:rsid w:val="00197661"/>
    <w:rsid w:val="001A350B"/>
    <w:rsid w:val="001B20EF"/>
    <w:rsid w:val="001C10CE"/>
    <w:rsid w:val="001D52B0"/>
    <w:rsid w:val="001D5C7E"/>
    <w:rsid w:val="001F4128"/>
    <w:rsid w:val="00232E4B"/>
    <w:rsid w:val="002404B3"/>
    <w:rsid w:val="00260911"/>
    <w:rsid w:val="002C2158"/>
    <w:rsid w:val="003031D2"/>
    <w:rsid w:val="00311E7F"/>
    <w:rsid w:val="003434A9"/>
    <w:rsid w:val="003536ED"/>
    <w:rsid w:val="00353A1C"/>
    <w:rsid w:val="00355391"/>
    <w:rsid w:val="00392AD1"/>
    <w:rsid w:val="003A1C57"/>
    <w:rsid w:val="003B5BBD"/>
    <w:rsid w:val="003C700F"/>
    <w:rsid w:val="003E33C7"/>
    <w:rsid w:val="004271D6"/>
    <w:rsid w:val="00430231"/>
    <w:rsid w:val="00450D10"/>
    <w:rsid w:val="0045573B"/>
    <w:rsid w:val="004901B0"/>
    <w:rsid w:val="004936D6"/>
    <w:rsid w:val="004D533E"/>
    <w:rsid w:val="004E1053"/>
    <w:rsid w:val="004F127F"/>
    <w:rsid w:val="004F3F45"/>
    <w:rsid w:val="004F7216"/>
    <w:rsid w:val="00502107"/>
    <w:rsid w:val="005024DE"/>
    <w:rsid w:val="00510DE3"/>
    <w:rsid w:val="00543040"/>
    <w:rsid w:val="005441B4"/>
    <w:rsid w:val="005B6097"/>
    <w:rsid w:val="005E2E53"/>
    <w:rsid w:val="005E3F92"/>
    <w:rsid w:val="005E7652"/>
    <w:rsid w:val="00647249"/>
    <w:rsid w:val="00657FAD"/>
    <w:rsid w:val="0067283E"/>
    <w:rsid w:val="006A6624"/>
    <w:rsid w:val="006C3B09"/>
    <w:rsid w:val="006D0AA5"/>
    <w:rsid w:val="00723790"/>
    <w:rsid w:val="007756FD"/>
    <w:rsid w:val="007A06CF"/>
    <w:rsid w:val="007B79E4"/>
    <w:rsid w:val="007C7D9B"/>
    <w:rsid w:val="007D7C66"/>
    <w:rsid w:val="007E2963"/>
    <w:rsid w:val="00811633"/>
    <w:rsid w:val="008128BA"/>
    <w:rsid w:val="00812DF4"/>
    <w:rsid w:val="00814C7F"/>
    <w:rsid w:val="008301C7"/>
    <w:rsid w:val="008467A8"/>
    <w:rsid w:val="008B7CE7"/>
    <w:rsid w:val="008C01AA"/>
    <w:rsid w:val="008C2B2E"/>
    <w:rsid w:val="008F0B96"/>
    <w:rsid w:val="0090666E"/>
    <w:rsid w:val="00915B76"/>
    <w:rsid w:val="009536CE"/>
    <w:rsid w:val="00965EA1"/>
    <w:rsid w:val="00971E56"/>
    <w:rsid w:val="0098133A"/>
    <w:rsid w:val="009906BE"/>
    <w:rsid w:val="009967B2"/>
    <w:rsid w:val="009A5096"/>
    <w:rsid w:val="009B1881"/>
    <w:rsid w:val="009C06ED"/>
    <w:rsid w:val="00A2387F"/>
    <w:rsid w:val="00A41983"/>
    <w:rsid w:val="00AB5A5A"/>
    <w:rsid w:val="00AC2AAE"/>
    <w:rsid w:val="00AD0C59"/>
    <w:rsid w:val="00AE18BB"/>
    <w:rsid w:val="00AF0FE7"/>
    <w:rsid w:val="00B0212A"/>
    <w:rsid w:val="00B15BC2"/>
    <w:rsid w:val="00B51D64"/>
    <w:rsid w:val="00B54242"/>
    <w:rsid w:val="00B631E1"/>
    <w:rsid w:val="00BA2AD8"/>
    <w:rsid w:val="00BC72F0"/>
    <w:rsid w:val="00BD4999"/>
    <w:rsid w:val="00C30EC5"/>
    <w:rsid w:val="00C74D09"/>
    <w:rsid w:val="00C913DB"/>
    <w:rsid w:val="00CC3F01"/>
    <w:rsid w:val="00CE35EB"/>
    <w:rsid w:val="00CF72DC"/>
    <w:rsid w:val="00D00FE5"/>
    <w:rsid w:val="00D049EF"/>
    <w:rsid w:val="00D1694B"/>
    <w:rsid w:val="00D2439D"/>
    <w:rsid w:val="00D32C33"/>
    <w:rsid w:val="00D548CE"/>
    <w:rsid w:val="00D54911"/>
    <w:rsid w:val="00D55C95"/>
    <w:rsid w:val="00D727CB"/>
    <w:rsid w:val="00D74460"/>
    <w:rsid w:val="00D8671A"/>
    <w:rsid w:val="00DB7160"/>
    <w:rsid w:val="00DE3C72"/>
    <w:rsid w:val="00E06D6A"/>
    <w:rsid w:val="00E160E1"/>
    <w:rsid w:val="00E36425"/>
    <w:rsid w:val="00E63EF0"/>
    <w:rsid w:val="00E749A3"/>
    <w:rsid w:val="00E76FC9"/>
    <w:rsid w:val="00E87C42"/>
    <w:rsid w:val="00EC4A4C"/>
    <w:rsid w:val="00F0111E"/>
    <w:rsid w:val="00F06225"/>
    <w:rsid w:val="00F7023F"/>
    <w:rsid w:val="00F72C24"/>
    <w:rsid w:val="00F86435"/>
    <w:rsid w:val="00F868EC"/>
    <w:rsid w:val="00FB74F6"/>
    <w:rsid w:val="00FC6EFF"/>
    <w:rsid w:val="00FD5CEA"/>
    <w:rsid w:val="00FE169A"/>
    <w:rsid w:val="06FB4320"/>
    <w:rsid w:val="1A42693D"/>
    <w:rsid w:val="4FCA0B10"/>
    <w:rsid w:val="6343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3159</Words>
  <Characters>3302</Characters>
  <Lines>22</Lines>
  <Paragraphs>6</Paragraphs>
  <TotalTime>4</TotalTime>
  <ScaleCrop>false</ScaleCrop>
  <LinksUpToDate>false</LinksUpToDate>
  <CharactersWithSpaces>3321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2025-12-10T09:02:00Z</dcterms:created>
  <dc:creator>何烷桦</dc:creator>
  <cp:lastModifiedBy>  </cp:lastModifiedBy>
  <dcterms:modified xsi:type="dcterms:W3CDTF">2026-06-11T02:20:47Z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BC0A5040B47D42DE866153F58DD06512_13</vt:lpwstr>
  </property>
  <property fmtid="{D5CDD505-2E9C-101B-9397-08002B2CF9AE}" pid="4" name="KSOTemplateDocerSaveRecord">
    <vt:lpwstr>eyJoZGlkIjoiNjI4MGFhMzNkNWViMDFkODMyYzBmYmY3MjUyOWZjODUiLCJ1c2VySWQiOiIzNzE4MDk3NDIifQ==</vt:lpwstr>
  </property>
</Properties>
</file>