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4AB4F">
      <w:pPr>
        <w:spacing w:line="360" w:lineRule="auto"/>
        <w:jc w:val="center"/>
      </w:pPr>
      <w:r>
        <w:rPr>
          <w:rFonts w:hint="eastAsia"/>
          <w:b/>
          <w:sz w:val="36"/>
          <w:lang w:val="en-US" w:eastAsia="zh-CN"/>
        </w:rPr>
        <w:t>耳鼻喉激光治疗仪</w:t>
      </w:r>
      <w:r>
        <w:rPr>
          <w:b/>
          <w:sz w:val="36"/>
        </w:rPr>
        <w:t>采购需求</w:t>
      </w:r>
      <w:r>
        <w:rPr>
          <w:rFonts w:hint="eastAsia"/>
          <w:b/>
          <w:sz w:val="36"/>
          <w:lang w:eastAsia="zh-CN"/>
        </w:rPr>
        <w:t>（</w:t>
      </w:r>
      <w:r>
        <w:rPr>
          <w:rFonts w:hint="eastAsia"/>
          <w:b/>
          <w:sz w:val="36"/>
        </w:rPr>
        <w:t>YL20260071</w:t>
      </w:r>
      <w:r>
        <w:rPr>
          <w:rFonts w:hint="eastAsia"/>
          <w:b/>
          <w:sz w:val="36"/>
          <w:lang w:eastAsia="zh-CN"/>
        </w:rPr>
        <w:t>）</w:t>
      </w:r>
    </w:p>
    <w:p w14:paraId="21EEE408">
      <w:pPr>
        <w:spacing w:line="360" w:lineRule="auto"/>
        <w:rPr>
          <w:b/>
          <w:sz w:val="28"/>
        </w:rPr>
      </w:pPr>
      <w:r>
        <w:rPr>
          <w:b/>
          <w:sz w:val="28"/>
        </w:rPr>
        <w:t>一、项目概况：</w:t>
      </w:r>
    </w:p>
    <w:p w14:paraId="5522C621">
      <w:pPr>
        <w:spacing w:line="360" w:lineRule="auto"/>
        <w:ind w:firstLine="420"/>
      </w:pPr>
      <w:r>
        <w:rPr>
          <w:rFonts w:hint="eastAsia"/>
        </w:rPr>
        <w:t>本次采购内容为江门市妇幼保健院</w:t>
      </w:r>
      <w:r>
        <w:rPr>
          <w:rFonts w:hint="eastAsia"/>
          <w:b/>
        </w:rPr>
        <w:t>医疗设备项目院内采购项目</w:t>
      </w:r>
      <w:r>
        <w:rPr>
          <w:rFonts w:hint="eastAsia"/>
        </w:rPr>
        <w:t>（具体详见技术要求）。</w:t>
      </w:r>
    </w:p>
    <w:p w14:paraId="78165B13">
      <w:pPr>
        <w:spacing w:line="360" w:lineRule="auto"/>
      </w:pPr>
      <w:r>
        <w:rPr>
          <w:rFonts w:hint="eastAsia"/>
          <w:b/>
          <w:sz w:val="24"/>
        </w:rPr>
        <w:t>1-1</w:t>
      </w:r>
      <w:r>
        <w:rPr>
          <w:b/>
          <w:sz w:val="24"/>
        </w:rPr>
        <w:t>技术标准与要求</w:t>
      </w:r>
    </w:p>
    <w:tbl>
      <w:tblPr>
        <w:tblStyle w:val="8"/>
        <w:tblW w:w="748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7"/>
        <w:gridCol w:w="1701"/>
        <w:gridCol w:w="1077"/>
        <w:gridCol w:w="1077"/>
        <w:gridCol w:w="1077"/>
        <w:gridCol w:w="1134"/>
      </w:tblGrid>
      <w:tr w14:paraId="1526C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4DFD3C33">
            <w:pPr>
              <w:spacing w:line="360" w:lineRule="auto"/>
              <w:jc w:val="center"/>
              <w:rPr>
                <w:b/>
                <w:bCs/>
              </w:rPr>
            </w:pPr>
            <w:r>
              <w:rPr>
                <w:rFonts w:hint="eastAsia"/>
                <w:b/>
                <w:bCs/>
              </w:rPr>
              <w:t>项目编号</w:t>
            </w:r>
          </w:p>
        </w:tc>
        <w:tc>
          <w:tcPr>
            <w:tcW w:w="1701" w:type="dxa"/>
            <w:vAlign w:val="center"/>
          </w:tcPr>
          <w:p w14:paraId="7A1C29F5">
            <w:pPr>
              <w:spacing w:line="360" w:lineRule="auto"/>
              <w:jc w:val="center"/>
              <w:rPr>
                <w:b/>
                <w:bCs/>
              </w:rPr>
            </w:pPr>
            <w:r>
              <w:rPr>
                <w:rFonts w:hint="eastAsia"/>
                <w:b/>
                <w:bCs/>
              </w:rPr>
              <w:t>项目</w:t>
            </w:r>
            <w:r>
              <w:rPr>
                <w:b/>
                <w:bCs/>
              </w:rPr>
              <w:t>名称</w:t>
            </w:r>
          </w:p>
        </w:tc>
        <w:tc>
          <w:tcPr>
            <w:tcW w:w="1077" w:type="dxa"/>
            <w:vAlign w:val="center"/>
          </w:tcPr>
          <w:p w14:paraId="4BE61CB5">
            <w:pPr>
              <w:spacing w:line="360" w:lineRule="auto"/>
              <w:jc w:val="center"/>
              <w:rPr>
                <w:b/>
                <w:bCs/>
              </w:rPr>
            </w:pPr>
            <w:r>
              <w:rPr>
                <w:b/>
                <w:bCs/>
              </w:rPr>
              <w:t>单位</w:t>
            </w:r>
          </w:p>
        </w:tc>
        <w:tc>
          <w:tcPr>
            <w:tcW w:w="1077" w:type="dxa"/>
            <w:vAlign w:val="center"/>
          </w:tcPr>
          <w:p w14:paraId="2D3D43D7">
            <w:pPr>
              <w:spacing w:line="360" w:lineRule="auto"/>
              <w:jc w:val="center"/>
              <w:rPr>
                <w:b/>
                <w:bCs/>
              </w:rPr>
            </w:pPr>
            <w:r>
              <w:rPr>
                <w:b/>
                <w:bCs/>
              </w:rPr>
              <w:t>数量</w:t>
            </w:r>
          </w:p>
        </w:tc>
        <w:tc>
          <w:tcPr>
            <w:tcW w:w="1077" w:type="dxa"/>
            <w:vAlign w:val="center"/>
          </w:tcPr>
          <w:p w14:paraId="22EF04F8">
            <w:pPr>
              <w:spacing w:line="360" w:lineRule="auto"/>
              <w:jc w:val="center"/>
              <w:rPr>
                <w:b/>
                <w:bCs/>
              </w:rPr>
            </w:pPr>
            <w:r>
              <w:rPr>
                <w:b/>
                <w:bCs/>
              </w:rPr>
              <w:t>预算总价（</w:t>
            </w:r>
            <w:r>
              <w:rPr>
                <w:rFonts w:hint="eastAsia"/>
                <w:b/>
                <w:bCs/>
              </w:rPr>
              <w:t>万</w:t>
            </w:r>
            <w:r>
              <w:rPr>
                <w:b/>
                <w:bCs/>
              </w:rPr>
              <w:t>元）</w:t>
            </w:r>
          </w:p>
        </w:tc>
        <w:tc>
          <w:tcPr>
            <w:tcW w:w="1134" w:type="dxa"/>
            <w:vAlign w:val="center"/>
          </w:tcPr>
          <w:p w14:paraId="2F9666DC">
            <w:pPr>
              <w:spacing w:line="360" w:lineRule="auto"/>
              <w:jc w:val="center"/>
              <w:rPr>
                <w:b/>
                <w:bCs/>
              </w:rPr>
            </w:pPr>
            <w:r>
              <w:rPr>
                <w:b/>
                <w:bCs/>
              </w:rPr>
              <w:t>技术要求</w:t>
            </w:r>
          </w:p>
        </w:tc>
      </w:tr>
      <w:tr w14:paraId="65712D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417" w:type="dxa"/>
            <w:vAlign w:val="center"/>
          </w:tcPr>
          <w:p w14:paraId="47C1A9B6">
            <w:pPr>
              <w:jc w:val="center"/>
            </w:pPr>
            <w:r>
              <w:rPr>
                <w:rFonts w:hint="eastAsia"/>
              </w:rPr>
              <w:t>YL20260071</w:t>
            </w:r>
          </w:p>
        </w:tc>
        <w:tc>
          <w:tcPr>
            <w:tcW w:w="1701" w:type="dxa"/>
            <w:vAlign w:val="center"/>
          </w:tcPr>
          <w:p w14:paraId="5B1751B2">
            <w:pPr>
              <w:jc w:val="center"/>
              <w:rPr>
                <w:rFonts w:hint="default" w:eastAsiaTheme="minorEastAsia"/>
                <w:lang w:val="en-US" w:eastAsia="zh-CN"/>
              </w:rPr>
            </w:pPr>
            <w:r>
              <w:rPr>
                <w:rFonts w:hint="eastAsia" w:ascii="方正公文仿宋" w:hAnsi="方正公文仿宋" w:eastAsia="方正公文仿宋" w:cs="方正公文仿宋"/>
                <w:b w:val="0"/>
                <w:bCs w:val="0"/>
                <w:sz w:val="24"/>
                <w:szCs w:val="24"/>
                <w:lang w:val="en-US" w:eastAsia="zh-CN"/>
              </w:rPr>
              <w:t>耳鼻喉激光治疗仪</w:t>
            </w:r>
          </w:p>
        </w:tc>
        <w:tc>
          <w:tcPr>
            <w:tcW w:w="1077" w:type="dxa"/>
            <w:vAlign w:val="center"/>
          </w:tcPr>
          <w:p w14:paraId="15B0F864">
            <w:pPr>
              <w:jc w:val="center"/>
            </w:pPr>
            <w:r>
              <w:rPr>
                <w:rFonts w:hint="eastAsia"/>
              </w:rPr>
              <w:t>台</w:t>
            </w:r>
          </w:p>
        </w:tc>
        <w:tc>
          <w:tcPr>
            <w:tcW w:w="1077" w:type="dxa"/>
            <w:vAlign w:val="center"/>
          </w:tcPr>
          <w:p w14:paraId="6EADBDA0">
            <w:pPr>
              <w:jc w:val="center"/>
              <w:rPr>
                <w:rFonts w:hint="eastAsia" w:eastAsiaTheme="minorEastAsia"/>
                <w:lang w:eastAsia="zh-CN"/>
              </w:rPr>
            </w:pPr>
            <w:r>
              <w:rPr>
                <w:rFonts w:hint="eastAsia"/>
                <w:lang w:val="en-US" w:eastAsia="zh-CN"/>
              </w:rPr>
              <w:t>2</w:t>
            </w:r>
          </w:p>
        </w:tc>
        <w:tc>
          <w:tcPr>
            <w:tcW w:w="1077" w:type="dxa"/>
            <w:vAlign w:val="center"/>
          </w:tcPr>
          <w:p w14:paraId="0D172ADF">
            <w:pPr>
              <w:jc w:val="center"/>
              <w:rPr>
                <w:rFonts w:hint="default"/>
                <w:lang w:val="en-US"/>
              </w:rPr>
            </w:pPr>
            <w:r>
              <w:rPr>
                <w:rFonts w:hint="eastAsia"/>
                <w:lang w:val="en-US" w:eastAsia="zh-CN"/>
              </w:rPr>
              <w:t>16</w:t>
            </w:r>
          </w:p>
        </w:tc>
        <w:tc>
          <w:tcPr>
            <w:tcW w:w="1134" w:type="dxa"/>
            <w:vAlign w:val="center"/>
          </w:tcPr>
          <w:p w14:paraId="546F3D20">
            <w:pPr>
              <w:jc w:val="center"/>
            </w:pPr>
            <w:r>
              <w:rPr>
                <w:rFonts w:hint="eastAsia"/>
              </w:rPr>
              <w:t>详见附表一</w:t>
            </w:r>
          </w:p>
        </w:tc>
      </w:tr>
    </w:tbl>
    <w:p w14:paraId="0698F9CC">
      <w:pPr>
        <w:spacing w:line="480" w:lineRule="auto"/>
      </w:pPr>
      <w:r>
        <w:rPr>
          <w:b/>
          <w:sz w:val="24"/>
        </w:rPr>
        <w:t>附表</w:t>
      </w:r>
      <w:r>
        <w:rPr>
          <w:rFonts w:hint="eastAsia"/>
          <w:b/>
          <w:sz w:val="24"/>
        </w:rPr>
        <w:t>一</w:t>
      </w:r>
      <w:r>
        <w:rPr>
          <w:b/>
          <w:sz w:val="24"/>
        </w:rPr>
        <w:t>：</w:t>
      </w:r>
      <w:r>
        <w:t xml:space="preserve"> </w:t>
      </w:r>
    </w:p>
    <w:tbl>
      <w:tblPr>
        <w:tblStyle w:val="8"/>
        <w:tblW w:w="86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8"/>
        <w:gridCol w:w="486"/>
        <w:gridCol w:w="7500"/>
      </w:tblGrid>
      <w:tr w14:paraId="101EE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5DD84F57">
            <w:pPr>
              <w:jc w:val="center"/>
            </w:pPr>
            <w:r>
              <w:t>参数性质</w:t>
            </w:r>
          </w:p>
        </w:tc>
        <w:tc>
          <w:tcPr>
            <w:tcW w:w="486" w:type="dxa"/>
            <w:vAlign w:val="center"/>
          </w:tcPr>
          <w:p w14:paraId="3B30E680">
            <w:pPr>
              <w:jc w:val="center"/>
            </w:pPr>
            <w:r>
              <w:t>序号</w:t>
            </w:r>
          </w:p>
        </w:tc>
        <w:tc>
          <w:tcPr>
            <w:tcW w:w="7500" w:type="dxa"/>
            <w:vAlign w:val="center"/>
          </w:tcPr>
          <w:p w14:paraId="45DA9EED">
            <w:pPr>
              <w:jc w:val="center"/>
            </w:pPr>
            <w:r>
              <w:t>具体技术(参数)要求</w:t>
            </w:r>
            <w:bookmarkStart w:id="0" w:name="_GoBack"/>
            <w:bookmarkEnd w:id="0"/>
          </w:p>
        </w:tc>
      </w:tr>
      <w:tr w14:paraId="5002E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0E46C9B6">
            <w:pPr>
              <w:jc w:val="center"/>
              <w:rPr>
                <w:rFonts w:hint="default" w:eastAsiaTheme="minorEastAsia"/>
                <w:lang w:val="en-US" w:eastAsia="zh-CN"/>
              </w:rPr>
            </w:pPr>
            <w:r>
              <w:rPr>
                <w:rFonts w:hint="eastAsia"/>
                <w:lang w:val="en-US" w:eastAsia="zh-CN"/>
              </w:rPr>
              <w:t>技术参数</w:t>
            </w:r>
          </w:p>
        </w:tc>
        <w:tc>
          <w:tcPr>
            <w:tcW w:w="486" w:type="dxa"/>
            <w:vAlign w:val="center"/>
          </w:tcPr>
          <w:p w14:paraId="0B849914">
            <w:pPr>
              <w:jc w:val="center"/>
            </w:pPr>
            <w:r>
              <w:rPr>
                <w:rFonts w:hint="eastAsia" w:ascii="方正公文仿宋" w:hAnsi="方正公文仿宋" w:eastAsia="方正公文仿宋" w:cs="方正公文仿宋"/>
                <w:b w:val="0"/>
                <w:bCs w:val="0"/>
                <w:sz w:val="24"/>
                <w:szCs w:val="24"/>
                <w:lang w:val="en-US" w:eastAsia="zh-CN"/>
              </w:rPr>
              <w:t>1</w:t>
            </w:r>
          </w:p>
        </w:tc>
        <w:tc>
          <w:tcPr>
            <w:tcW w:w="7500" w:type="dxa"/>
          </w:tcPr>
          <w:tbl>
            <w:tblPr>
              <w:tblStyle w:val="9"/>
              <w:tblW w:w="7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Layout w:type="fixed"/>
              <w:tblCellMar>
                <w:top w:w="0" w:type="dxa"/>
                <w:left w:w="108" w:type="dxa"/>
                <w:bottom w:w="0" w:type="dxa"/>
                <w:right w:w="108" w:type="dxa"/>
              </w:tblCellMar>
            </w:tblPr>
            <w:tblGrid>
              <w:gridCol w:w="939"/>
              <w:gridCol w:w="6350"/>
            </w:tblGrid>
            <w:tr w14:paraId="5828B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c>
                <w:tcPr>
                  <w:tcW w:w="939" w:type="dxa"/>
                  <w:shd w:val="clear" w:color="auto" w:fill="FDE9D9" w:themeFill="accent6" w:themeFillTint="33"/>
                  <w:vAlign w:val="center"/>
                </w:tcPr>
                <w:p w14:paraId="02636C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6350" w:type="dxa"/>
                  <w:shd w:val="clear" w:color="auto" w:fill="FDE9D9" w:themeFill="accent6" w:themeFillTint="33"/>
                  <w:vAlign w:val="center"/>
                </w:tcPr>
                <w:p w14:paraId="330498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技术和性能参数要求</w:t>
                  </w:r>
                </w:p>
              </w:tc>
            </w:tr>
            <w:tr w14:paraId="180A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39A28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rPr>
                  </w:pPr>
                  <w:r>
                    <w:rPr>
                      <w:rFonts w:hint="eastAsia" w:ascii="宋体" w:hAnsi="宋体" w:eastAsia="宋体" w:cs="宋体"/>
                      <w:b w:val="0"/>
                      <w:bCs w:val="0"/>
                      <w:color w:val="000000"/>
                      <w:kern w:val="0"/>
                      <w:sz w:val="24"/>
                      <w:szCs w:val="24"/>
                      <w:lang w:val="en-US" w:eastAsia="zh-CN" w:bidi="ar"/>
                    </w:rPr>
                    <w:t>★</w:t>
                  </w:r>
                  <w:r>
                    <w:rPr>
                      <w:rFonts w:hint="eastAsia" w:ascii="宋体" w:hAnsi="宋体" w:eastAsia="宋体" w:cs="宋体"/>
                      <w:b w:val="0"/>
                      <w:bCs/>
                      <w:kern w:val="0"/>
                      <w:sz w:val="24"/>
                      <w:szCs w:val="24"/>
                    </w:rPr>
                    <w:t>1</w:t>
                  </w:r>
                </w:p>
              </w:tc>
              <w:tc>
                <w:tcPr>
                  <w:tcW w:w="6350" w:type="dxa"/>
                  <w:shd w:val="clear" w:color="auto" w:fill="FDE9D9" w:themeFill="accent6" w:themeFillTint="33"/>
                  <w:vAlign w:val="center"/>
                </w:tcPr>
                <w:p w14:paraId="2E6BE1B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通过探头发射的弱激光照射</w:t>
                  </w:r>
                  <w:r>
                    <w:rPr>
                      <w:rFonts w:hint="eastAsia" w:ascii="宋体" w:hAnsi="宋体" w:eastAsia="宋体" w:cs="宋体"/>
                      <w:sz w:val="24"/>
                      <w:szCs w:val="24"/>
                      <w:lang w:val="en-US" w:eastAsia="zh-CN"/>
                    </w:rPr>
                    <w:t>能同时满足</w:t>
                  </w:r>
                  <w:r>
                    <w:rPr>
                      <w:rFonts w:hint="eastAsia" w:ascii="宋体" w:hAnsi="宋体" w:eastAsia="宋体" w:cs="宋体"/>
                      <w:sz w:val="24"/>
                      <w:szCs w:val="24"/>
                    </w:rPr>
                    <w:t>鼻腔、口</w:t>
                  </w:r>
                  <w:r>
                    <w:rPr>
                      <w:rFonts w:hint="eastAsia" w:ascii="宋体" w:hAnsi="宋体" w:eastAsia="宋体" w:cs="宋体"/>
                      <w:sz w:val="24"/>
                      <w:szCs w:val="24"/>
                      <w:lang w:val="en-US" w:eastAsia="zh-CN"/>
                    </w:rPr>
                    <w:t>咽部</w:t>
                  </w:r>
                  <w:r>
                    <w:rPr>
                      <w:rFonts w:hint="eastAsia" w:ascii="宋体" w:hAnsi="宋体" w:eastAsia="宋体" w:cs="宋体"/>
                      <w:sz w:val="24"/>
                      <w:szCs w:val="24"/>
                    </w:rPr>
                    <w:t>和体表</w:t>
                  </w:r>
                  <w:r>
                    <w:rPr>
                      <w:rFonts w:hint="eastAsia" w:ascii="宋体" w:hAnsi="宋体" w:eastAsia="宋体" w:cs="宋体"/>
                      <w:sz w:val="24"/>
                      <w:szCs w:val="24"/>
                      <w:lang w:val="en-US" w:eastAsia="zh-CN"/>
                    </w:rPr>
                    <w:t>照射等部位炎症症状的辅助治疗。</w:t>
                  </w:r>
                </w:p>
              </w:tc>
            </w:tr>
            <w:tr w14:paraId="7AC6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DD065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rPr>
                  </w:pPr>
                  <w:r>
                    <w:rPr>
                      <w:rFonts w:hint="eastAsia" w:ascii="宋体" w:hAnsi="宋体" w:eastAsia="宋体" w:cs="宋体"/>
                      <w:b w:val="0"/>
                      <w:bCs w:val="0"/>
                      <w:color w:val="000000"/>
                      <w:kern w:val="0"/>
                      <w:sz w:val="24"/>
                      <w:szCs w:val="24"/>
                      <w:lang w:val="en-US" w:eastAsia="zh-CN" w:bidi="ar"/>
                    </w:rPr>
                    <w:t>★</w:t>
                  </w:r>
                  <w:r>
                    <w:rPr>
                      <w:rFonts w:hint="eastAsia" w:ascii="宋体" w:hAnsi="宋体" w:eastAsia="宋体" w:cs="宋体"/>
                      <w:b w:val="0"/>
                      <w:bCs/>
                      <w:kern w:val="0"/>
                      <w:sz w:val="24"/>
                      <w:szCs w:val="24"/>
                    </w:rPr>
                    <w:t>2</w:t>
                  </w:r>
                </w:p>
              </w:tc>
              <w:tc>
                <w:tcPr>
                  <w:tcW w:w="6350" w:type="dxa"/>
                  <w:shd w:val="clear" w:color="auto" w:fill="FDE9D9" w:themeFill="accent6" w:themeFillTint="33"/>
                  <w:vAlign w:val="center"/>
                </w:tcPr>
                <w:p w14:paraId="742AD41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color w:val="auto"/>
                      <w:sz w:val="24"/>
                      <w:szCs w:val="24"/>
                      <w:lang w:val="en-US" w:eastAsia="zh-CN"/>
                    </w:rPr>
                    <w:t>多治疗通道输出：最少有5路治疗通道输出（可以同时治疗5个患者）</w:t>
                  </w:r>
                </w:p>
              </w:tc>
            </w:tr>
            <w:tr w14:paraId="46C3D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10DE24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rPr>
                  </w:pPr>
                  <w:r>
                    <w:rPr>
                      <w:rFonts w:hint="eastAsia" w:ascii="宋体" w:hAnsi="宋体" w:eastAsia="宋体" w:cs="宋体"/>
                      <w:b w:val="0"/>
                      <w:bCs w:val="0"/>
                      <w:color w:val="000000"/>
                      <w:kern w:val="0"/>
                      <w:sz w:val="24"/>
                      <w:szCs w:val="24"/>
                      <w:lang w:val="en-US" w:eastAsia="zh-CN" w:bidi="ar"/>
                    </w:rPr>
                    <w:t>▲</w:t>
                  </w:r>
                  <w:r>
                    <w:rPr>
                      <w:rFonts w:hint="eastAsia" w:ascii="宋体" w:hAnsi="宋体" w:eastAsia="宋体" w:cs="宋体"/>
                      <w:b w:val="0"/>
                      <w:bCs/>
                      <w:sz w:val="24"/>
                      <w:szCs w:val="24"/>
                    </w:rPr>
                    <w:t>3</w:t>
                  </w:r>
                </w:p>
              </w:tc>
              <w:tc>
                <w:tcPr>
                  <w:tcW w:w="6350" w:type="dxa"/>
                  <w:shd w:val="clear" w:color="auto" w:fill="FDE9D9" w:themeFill="accent6" w:themeFillTint="33"/>
                  <w:vAlign w:val="center"/>
                </w:tcPr>
                <w:p w14:paraId="020B567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color w:val="auto"/>
                      <w:sz w:val="24"/>
                      <w:szCs w:val="24"/>
                      <w:lang w:val="en-US" w:eastAsia="zh-CN"/>
                    </w:rPr>
                    <w:t>各路通道可以任意切换治疗模式，并且治疗时间和治疗功率单独调节</w:t>
                  </w:r>
                  <w:r>
                    <w:rPr>
                      <w:rFonts w:hint="eastAsia" w:ascii="宋体" w:hAnsi="宋体"/>
                      <w:color w:val="auto"/>
                      <w:sz w:val="24"/>
                      <w:szCs w:val="24"/>
                    </w:rPr>
                    <w:t>；</w:t>
                  </w:r>
                </w:p>
              </w:tc>
            </w:tr>
            <w:tr w14:paraId="160B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7BF55A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rPr>
                  </w:pPr>
                  <w:r>
                    <w:rPr>
                      <w:rFonts w:hint="eastAsia" w:ascii="宋体" w:hAnsi="宋体" w:eastAsia="宋体" w:cs="宋体"/>
                      <w:b w:val="0"/>
                      <w:bCs w:val="0"/>
                      <w:color w:val="000000"/>
                      <w:kern w:val="0"/>
                      <w:sz w:val="24"/>
                      <w:szCs w:val="24"/>
                      <w:lang w:val="en-US" w:eastAsia="zh-CN" w:bidi="ar"/>
                    </w:rPr>
                    <w:t>▲</w:t>
                  </w:r>
                  <w:r>
                    <w:rPr>
                      <w:rFonts w:hint="eastAsia" w:ascii="宋体" w:hAnsi="宋体" w:eastAsia="宋体" w:cs="宋体"/>
                      <w:b w:val="0"/>
                      <w:bCs/>
                      <w:sz w:val="24"/>
                      <w:szCs w:val="24"/>
                    </w:rPr>
                    <w:t>4</w:t>
                  </w:r>
                </w:p>
              </w:tc>
              <w:tc>
                <w:tcPr>
                  <w:tcW w:w="6350" w:type="dxa"/>
                  <w:shd w:val="clear" w:color="auto" w:fill="FDE9D9" w:themeFill="accent6" w:themeFillTint="33"/>
                  <w:vAlign w:val="center"/>
                </w:tcPr>
                <w:p w14:paraId="41B8834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color w:val="auto"/>
                      <w:sz w:val="24"/>
                      <w:szCs w:val="24"/>
                    </w:rPr>
                    <w:t>激光治疗仪输出功率可调</w:t>
                  </w:r>
                  <w:r>
                    <w:rPr>
                      <w:rFonts w:hint="eastAsia" w:ascii="宋体" w:hAnsi="宋体"/>
                      <w:color w:val="auto"/>
                      <w:kern w:val="0"/>
                      <w:sz w:val="24"/>
                      <w:szCs w:val="24"/>
                    </w:rPr>
                    <w:t>,</w:t>
                  </w:r>
                  <w:r>
                    <w:rPr>
                      <w:rFonts w:hint="eastAsia" w:ascii="宋体" w:hAnsi="宋体"/>
                      <w:color w:val="auto"/>
                      <w:sz w:val="24"/>
                      <w:szCs w:val="24"/>
                    </w:rPr>
                    <w:t xml:space="preserve"> 针对不同患者用不同功率；</w:t>
                  </w:r>
                </w:p>
              </w:tc>
            </w:tr>
            <w:tr w14:paraId="3521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CE1C0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rPr>
                  </w:pPr>
                  <w:r>
                    <w:rPr>
                      <w:rFonts w:hint="eastAsia" w:ascii="宋体" w:hAnsi="宋体" w:eastAsia="宋体" w:cs="宋体"/>
                      <w:b w:val="0"/>
                      <w:bCs w:val="0"/>
                      <w:color w:val="000000"/>
                      <w:kern w:val="0"/>
                      <w:sz w:val="24"/>
                      <w:szCs w:val="24"/>
                      <w:lang w:val="en-US" w:eastAsia="zh-CN" w:bidi="ar"/>
                    </w:rPr>
                    <w:t>▲</w:t>
                  </w:r>
                  <w:r>
                    <w:rPr>
                      <w:rFonts w:hint="eastAsia" w:ascii="宋体" w:hAnsi="宋体" w:eastAsia="宋体" w:cs="宋体"/>
                      <w:b w:val="0"/>
                      <w:bCs/>
                      <w:sz w:val="24"/>
                      <w:szCs w:val="24"/>
                    </w:rPr>
                    <w:t>5</w:t>
                  </w:r>
                </w:p>
              </w:tc>
              <w:tc>
                <w:tcPr>
                  <w:tcW w:w="6350" w:type="dxa"/>
                  <w:shd w:val="clear" w:color="auto" w:fill="FDE9D9" w:themeFill="accent6" w:themeFillTint="33"/>
                  <w:vAlign w:val="center"/>
                </w:tcPr>
                <w:p w14:paraId="2EB326A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有治疗定时设置，按需治疗需求，设置治疗时间</w:t>
                  </w:r>
                </w:p>
              </w:tc>
            </w:tr>
            <w:tr w14:paraId="5B24D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73ACE7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6</w:t>
                  </w:r>
                </w:p>
              </w:tc>
              <w:tc>
                <w:tcPr>
                  <w:tcW w:w="6350" w:type="dxa"/>
                  <w:shd w:val="clear" w:color="auto" w:fill="FDE9D9" w:themeFill="accent6" w:themeFillTint="33"/>
                  <w:vAlign w:val="center"/>
                </w:tcPr>
                <w:p w14:paraId="5995F3DB">
                  <w:pPr>
                    <w:rPr>
                      <w:rFonts w:hint="eastAsia" w:ascii="宋体" w:hAnsi="宋体" w:eastAsia="宋体" w:cs="宋体"/>
                      <w:sz w:val="24"/>
                      <w:szCs w:val="24"/>
                    </w:rPr>
                  </w:pPr>
                  <w:r>
                    <w:rPr>
                      <w:rFonts w:hint="eastAsia" w:ascii="宋体" w:hAnsi="宋体" w:cs="宋体"/>
                      <w:color w:val="auto"/>
                      <w:sz w:val="24"/>
                      <w:szCs w:val="24"/>
                      <w:lang w:val="en-US" w:eastAsia="zh-CN"/>
                    </w:rPr>
                    <w:t>配有</w:t>
                  </w:r>
                  <w:r>
                    <w:rPr>
                      <w:rFonts w:hint="eastAsia" w:ascii="宋体" w:hAnsi="宋体" w:cs="宋体"/>
                      <w:color w:val="auto"/>
                      <w:sz w:val="24"/>
                      <w:szCs w:val="24"/>
                    </w:rPr>
                    <w:t>台车；</w:t>
                  </w:r>
                  <w:r>
                    <w:rPr>
                      <w:rFonts w:hint="eastAsia" w:ascii="宋体" w:hAnsi="宋体" w:cs="宋体"/>
                      <w:color w:val="auto"/>
                      <w:sz w:val="24"/>
                      <w:szCs w:val="24"/>
                      <w:lang w:val="en-US" w:eastAsia="zh-CN"/>
                    </w:rPr>
                    <w:t>且体积细小，方便转运。</w:t>
                  </w:r>
                  <w:r>
                    <w:rPr>
                      <w:rFonts w:hint="eastAsia" w:ascii="宋体" w:hAnsi="宋体" w:cs="宋体"/>
                      <w:color w:val="auto"/>
                      <w:sz w:val="24"/>
                      <w:szCs w:val="24"/>
                    </w:rPr>
                    <w:t>台车和便携式治疗仪可以进行分离，适应不同治疗室环境</w:t>
                  </w:r>
                </w:p>
              </w:tc>
            </w:tr>
            <w:tr w14:paraId="46B37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347296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val="0"/>
                      <w:color w:val="000000"/>
                      <w:kern w:val="0"/>
                      <w:sz w:val="24"/>
                      <w:szCs w:val="24"/>
                      <w:lang w:val="en-US" w:eastAsia="zh-CN" w:bidi="ar"/>
                    </w:rPr>
                    <w:t>▲</w:t>
                  </w:r>
                  <w:r>
                    <w:rPr>
                      <w:rFonts w:hint="eastAsia" w:ascii="宋体" w:hAnsi="宋体" w:eastAsia="宋体" w:cs="宋体"/>
                      <w:b w:val="0"/>
                      <w:bCs/>
                      <w:kern w:val="0"/>
                      <w:sz w:val="24"/>
                      <w:szCs w:val="24"/>
                      <w:lang w:val="en-US" w:eastAsia="zh-CN"/>
                    </w:rPr>
                    <w:t>7</w:t>
                  </w:r>
                </w:p>
              </w:tc>
              <w:tc>
                <w:tcPr>
                  <w:tcW w:w="6350" w:type="dxa"/>
                  <w:shd w:val="clear" w:color="auto" w:fill="FDE9D9" w:themeFill="accent6" w:themeFillTint="33"/>
                  <w:vAlign w:val="center"/>
                </w:tcPr>
                <w:p w14:paraId="2B160474">
                  <w:pPr>
                    <w:keepNext w:val="0"/>
                    <w:keepLines w:val="0"/>
                    <w:pageBreakBefore w:val="0"/>
                    <w:widowControl w:val="0"/>
                    <w:tabs>
                      <w:tab w:val="left" w:pos="2268"/>
                      <w:tab w:val="left" w:pos="3686"/>
                    </w:tabs>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rPr>
                  </w:pPr>
                  <w:r>
                    <w:rPr>
                      <w:rFonts w:hint="default" w:ascii="宋体" w:hAnsi="宋体" w:eastAsia="宋体" w:cs="宋体"/>
                      <w:sz w:val="24"/>
                      <w:szCs w:val="24"/>
                      <w:lang w:val="en-US" w:eastAsia="zh-CN"/>
                    </w:rPr>
                    <w:t>提供鼻腔激光照射探头、耳道激光照射探头、咽部激光照射探头、体表激光照射探头。</w:t>
                  </w:r>
                </w:p>
              </w:tc>
            </w:tr>
          </w:tbl>
          <w:p w14:paraId="6E963E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14:paraId="2115E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65864C76"/>
        </w:tc>
        <w:tc>
          <w:tcPr>
            <w:tcW w:w="486" w:type="dxa"/>
          </w:tcPr>
          <w:p w14:paraId="1B370DEA">
            <w:pPr>
              <w:rPr>
                <w:rFonts w:hint="eastAsia" w:eastAsiaTheme="minorEastAsia"/>
                <w:lang w:eastAsia="zh-CN"/>
              </w:rPr>
            </w:pPr>
            <w:r>
              <w:rPr>
                <w:rFonts w:hint="eastAsia"/>
                <w:lang w:val="en-US" w:eastAsia="zh-CN"/>
              </w:rPr>
              <w:t>2</w:t>
            </w:r>
          </w:p>
        </w:tc>
        <w:tc>
          <w:tcPr>
            <w:tcW w:w="7500" w:type="dxa"/>
          </w:tcPr>
          <w:p w14:paraId="7ECCBCBD">
            <w:pPr>
              <w:spacing w:line="360" w:lineRule="auto"/>
              <w:jc w:val="left"/>
            </w:pPr>
            <w:r>
              <w:rPr>
                <w:rFonts w:hint="eastAsia"/>
              </w:rPr>
              <w:t>货物要求：</w:t>
            </w:r>
          </w:p>
          <w:p w14:paraId="0FBEC2D0">
            <w:pPr>
              <w:spacing w:line="360" w:lineRule="auto"/>
              <w:jc w:val="left"/>
              <w:rPr>
                <w:rFonts w:asciiTheme="minorEastAsia" w:hAnsiTheme="minorEastAsia"/>
              </w:rPr>
            </w:pPr>
            <w:r>
              <w:rPr>
                <w:rFonts w:hint="eastAsia" w:asciiTheme="minorEastAsia" w:hAnsiTheme="minorEastAsia"/>
              </w:rPr>
              <w:t>1、如投标人所投的产品不是投标人自己制造的，投标人应得到制造商同意其在本次投标中提供该货物的</w:t>
            </w:r>
            <w:r>
              <w:rPr>
                <w:rFonts w:hint="eastAsia" w:asciiTheme="minorEastAsia" w:hAnsiTheme="minorEastAsia"/>
                <w:b/>
              </w:rPr>
              <w:t>正式授权书（逐级授权都需齐全）</w:t>
            </w:r>
            <w:r>
              <w:rPr>
                <w:rFonts w:hint="eastAsia" w:asciiTheme="minorEastAsia" w:hAnsiTheme="minorEastAsia"/>
              </w:rPr>
              <w:t>。</w:t>
            </w:r>
          </w:p>
          <w:p w14:paraId="397FD764">
            <w:pPr>
              <w:spacing w:line="360" w:lineRule="auto"/>
              <w:jc w:val="left"/>
              <w:rPr>
                <w:rFonts w:asciiTheme="minorEastAsia" w:hAnsiTheme="minorEastAsia"/>
              </w:rPr>
            </w:pPr>
            <w:r>
              <w:rPr>
                <w:rFonts w:hint="eastAsia" w:asciiTheme="minorEastAsia" w:hAnsiTheme="minorEastAsia"/>
              </w:rPr>
              <w:t>2、投标人须提供所投产品</w:t>
            </w:r>
            <w:r>
              <w:rPr>
                <w:rFonts w:hint="eastAsia" w:asciiTheme="minorEastAsia" w:hAnsiTheme="minorEastAsia"/>
                <w:b/>
              </w:rPr>
              <w:t>完整的配置清单</w:t>
            </w:r>
            <w:r>
              <w:rPr>
                <w:rFonts w:hint="eastAsia" w:asciiTheme="minorEastAsia" w:hAnsiTheme="minorEastAsia"/>
              </w:rPr>
              <w:t>。</w:t>
            </w:r>
          </w:p>
          <w:p w14:paraId="7C36DEBC">
            <w:pPr>
              <w:spacing w:line="360" w:lineRule="auto"/>
              <w:jc w:val="left"/>
              <w:rPr>
                <w:rFonts w:asciiTheme="minorEastAsia" w:hAnsiTheme="minorEastAsia"/>
              </w:rPr>
            </w:pPr>
            <w:r>
              <w:rPr>
                <w:rFonts w:hint="eastAsia" w:asciiTheme="minorEastAsia" w:hAnsiTheme="minorEastAsia"/>
              </w:rPr>
              <w:t>3、如投标人所投产品</w:t>
            </w:r>
            <w:r>
              <w:rPr>
                <w:rFonts w:hint="eastAsia" w:asciiTheme="minorEastAsia" w:hAnsiTheme="minorEastAsia"/>
                <w:b/>
              </w:rPr>
              <w:t>含有配套耗材，须提供配套耗材的报价明细</w:t>
            </w:r>
            <w:r>
              <w:rPr>
                <w:rFonts w:hint="eastAsia" w:asciiTheme="minorEastAsia" w:hAnsiTheme="minorEastAsia"/>
              </w:rPr>
              <w:t>，该报价将作为后期采购的参考价格，但不包括在本次投标报价中；如投标人所投产品不含有配套耗材，提供不需要配套耗材的声明函。</w:t>
            </w:r>
          </w:p>
          <w:p w14:paraId="0AFC3AC3">
            <w:pPr>
              <w:spacing w:line="360" w:lineRule="auto"/>
              <w:jc w:val="left"/>
              <w:rPr>
                <w:rFonts w:asciiTheme="minorEastAsia" w:hAnsiTheme="minorEastAsia"/>
              </w:rPr>
            </w:pPr>
            <w:r>
              <w:rPr>
                <w:rFonts w:hint="eastAsia" w:asciiTheme="minorEastAsia" w:hAnsiTheme="minorEastAsia"/>
                <w:b/>
              </w:rPr>
              <w:t>4、所投产品具有有效的中华人民共和国医疗器械注册证（注册证型号与投标型号一致）。（所投产品必须证件齐全，且在有效期内。若本条不满足，则投标无效）</w:t>
            </w:r>
          </w:p>
          <w:p w14:paraId="01C797ED">
            <w:pPr>
              <w:spacing w:line="360" w:lineRule="auto"/>
              <w:jc w:val="left"/>
              <w:rPr>
                <w:rFonts w:asciiTheme="minorEastAsia" w:hAnsiTheme="minorEastAsia"/>
              </w:rPr>
            </w:pPr>
            <w:r>
              <w:rPr>
                <w:rFonts w:hint="eastAsia" w:asciiTheme="minorEastAsia" w:hAnsiTheme="minorEastAsia"/>
              </w:rPr>
              <w:t>5、本项目所述产品及技术要求，应视为保证项目投入运行所需的最低要求，并无指定。投标人可选用技术参数相当或更优的产品进行响应，也可以对产品配套的细节部分加以明确和优化。</w:t>
            </w:r>
          </w:p>
        </w:tc>
      </w:tr>
      <w:tr w14:paraId="1A7FB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0" w:hRule="atLeast"/>
        </w:trPr>
        <w:tc>
          <w:tcPr>
            <w:tcW w:w="1104" w:type="dxa"/>
            <w:gridSpan w:val="2"/>
          </w:tcPr>
          <w:p w14:paraId="45603DE1">
            <w:pPr>
              <w:ind w:firstLine="401"/>
              <w:jc w:val="left"/>
            </w:pPr>
            <w:r>
              <w:t>说明</w:t>
            </w:r>
          </w:p>
        </w:tc>
        <w:tc>
          <w:tcPr>
            <w:tcW w:w="7500" w:type="dxa"/>
            <w:tcBorders>
              <w:top w:val="single" w:color="auto" w:sz="0" w:space="0"/>
              <w:left w:val="single" w:color="auto" w:sz="0" w:space="0"/>
              <w:bottom w:val="single" w:color="auto" w:sz="0" w:space="0"/>
              <w:right w:val="single" w:color="auto" w:sz="0" w:space="0"/>
            </w:tcBorders>
          </w:tcPr>
          <w:p w14:paraId="0D3B25DC">
            <w:pPr>
              <w:spacing w:line="360" w:lineRule="auto"/>
              <w:rPr>
                <w:rFonts w:ascii="宋体" w:hAnsi="宋体"/>
                <w:szCs w:val="21"/>
              </w:rPr>
            </w:pPr>
            <w:r>
              <w:t>打“</w:t>
            </w:r>
            <w:r>
              <w:rPr>
                <w:rFonts w:hint="eastAsia" w:ascii="宋体" w:hAnsi="宋体" w:eastAsia="宋体" w:cs="宋体"/>
              </w:rPr>
              <w:t>★</w:t>
            </w:r>
            <w:r>
              <w:rPr>
                <w:rFonts w:ascii="Calibri" w:hAnsi="Calibri" w:cs="Calibri"/>
              </w:rPr>
              <w:t>”</w:t>
            </w:r>
            <w:r>
              <w:t>号条款为实质性条款，若有任何一条不满足则导致投标无效。</w:t>
            </w:r>
            <w:r>
              <w:br w:type="textWrapping"/>
            </w:r>
            <w:r>
              <w:t>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p>
        </w:tc>
      </w:tr>
    </w:tbl>
    <w:p w14:paraId="7E0530D9">
      <w:pPr>
        <w:pStyle w:val="7"/>
        <w:ind w:left="0" w:leftChars="0" w:firstLine="0" w:firstLineChars="0"/>
      </w:pPr>
    </w:p>
    <w:p w14:paraId="683D1366">
      <w:pPr>
        <w:spacing w:line="360" w:lineRule="auto"/>
      </w:pPr>
      <w:r>
        <w:rPr>
          <w:rFonts w:hint="eastAsia"/>
          <w:b/>
          <w:sz w:val="24"/>
        </w:rPr>
        <w:t>2</w:t>
      </w:r>
      <w:r>
        <w:rPr>
          <w:b/>
          <w:sz w:val="24"/>
        </w:rPr>
        <w:t>.主要商务要求</w:t>
      </w:r>
    </w:p>
    <w:tbl>
      <w:tblPr>
        <w:tblStyle w:val="8"/>
        <w:tblW w:w="847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09"/>
        <w:gridCol w:w="6663"/>
      </w:tblGrid>
      <w:tr w14:paraId="2FE4FD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35CDC52A">
            <w:pPr>
              <w:spacing w:line="360" w:lineRule="auto"/>
            </w:pPr>
            <w:r>
              <w:rPr>
                <w:rFonts w:hint="eastAsia"/>
              </w:rPr>
              <w:t>① 供货</w:t>
            </w:r>
            <w:r>
              <w:t>时间</w:t>
            </w:r>
          </w:p>
        </w:tc>
        <w:tc>
          <w:tcPr>
            <w:tcW w:w="6663" w:type="dxa"/>
          </w:tcPr>
          <w:p w14:paraId="25A15D09">
            <w:pPr>
              <w:spacing w:line="360" w:lineRule="auto"/>
            </w:pPr>
            <w:r>
              <w:rPr>
                <w:rFonts w:hint="eastAsia"/>
              </w:rPr>
              <w:t>合同签订生效后30个日历天内，完成到货安装调试并提交采购人试用。</w:t>
            </w:r>
          </w:p>
        </w:tc>
      </w:tr>
      <w:tr w14:paraId="6102A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70D43576">
            <w:pPr>
              <w:spacing w:line="360" w:lineRule="auto"/>
            </w:pPr>
            <w:r>
              <w:rPr>
                <w:rFonts w:hint="eastAsia"/>
              </w:rPr>
              <w:t>② 供货</w:t>
            </w:r>
            <w:r>
              <w:t>地点</w:t>
            </w:r>
          </w:p>
        </w:tc>
        <w:tc>
          <w:tcPr>
            <w:tcW w:w="6663" w:type="dxa"/>
          </w:tcPr>
          <w:p w14:paraId="215E06A3">
            <w:pPr>
              <w:spacing w:line="360" w:lineRule="auto"/>
            </w:pPr>
            <w:r>
              <w:rPr>
                <w:rFonts w:hint="eastAsia"/>
                <w:color w:val="000000" w:themeColor="text1"/>
                <w14:textFill>
                  <w14:solidFill>
                    <w14:schemeClr w14:val="tx1"/>
                  </w14:solidFill>
                </w14:textFill>
              </w:rPr>
              <w:t>采购人</w:t>
            </w:r>
            <w:r>
              <w:t>指定地点</w:t>
            </w:r>
          </w:p>
        </w:tc>
      </w:tr>
      <w:tr w14:paraId="100AB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809" w:type="dxa"/>
          </w:tcPr>
          <w:p w14:paraId="39D853C1">
            <w:pPr>
              <w:spacing w:line="360" w:lineRule="auto"/>
            </w:pPr>
            <w:r>
              <w:rPr>
                <w:rFonts w:hint="eastAsia"/>
              </w:rPr>
              <w:t xml:space="preserve">③ </w:t>
            </w:r>
            <w:r>
              <w:t>付款方式</w:t>
            </w:r>
          </w:p>
        </w:tc>
        <w:tc>
          <w:tcPr>
            <w:tcW w:w="6663" w:type="dxa"/>
          </w:tcPr>
          <w:p w14:paraId="0C70E4BC">
            <w:pPr>
              <w:spacing w:line="360" w:lineRule="auto"/>
            </w:pPr>
            <w:r>
              <w:rPr>
                <w:rFonts w:hint="eastAsia"/>
              </w:rPr>
              <w:t>（一）10万元以内分两期付款，合同签订生效后,乙方将设备运到指定地点，安装调试完毕并验收合格、入库之后的3个月后，将支付合同总金额的80%；合同签订生效十八个月后将支付余下款项（合同总金额的20%）。</w:t>
            </w:r>
          </w:p>
          <w:p w14:paraId="7B9F62A1">
            <w:pPr>
              <w:spacing w:line="360" w:lineRule="auto"/>
            </w:pPr>
            <w:r>
              <w:rPr>
                <w:rFonts w:hint="eastAsia"/>
              </w:rPr>
              <w:t>（二）10万元以上设备分三期支付货款，合同签订生效后的30个工作日，支付合同总金额的30%；安装调试完毕并验收合格、入库后的30个工作日，将支付合同总金额的60%；合同签订生效十八个月后，确认无其它扣款事项后30个工作日，将支付余下款项（合同总金额的10%）。</w:t>
            </w:r>
          </w:p>
        </w:tc>
      </w:tr>
      <w:tr w14:paraId="410CF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17157246">
            <w:pPr>
              <w:spacing w:line="360" w:lineRule="auto"/>
            </w:pPr>
            <w:r>
              <w:rPr>
                <w:rFonts w:hint="eastAsia"/>
              </w:rPr>
              <w:t xml:space="preserve">④ </w:t>
            </w:r>
            <w:r>
              <w:t>验收要求</w:t>
            </w:r>
          </w:p>
        </w:tc>
        <w:tc>
          <w:tcPr>
            <w:tcW w:w="6663" w:type="dxa"/>
          </w:tcPr>
          <w:p w14:paraId="28AF3CFC">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用部门人员、医疗器械工程师及中标人相关人员共同对设备产品质量和技术指标进行检验。政府招标项目需提交由具备资质的检测机构出具的性能检测报告(检测费由中标人承担)。（三）验收标准：1、中标人提供的设备必须是全新的，出厂日期不超过壹年，且交付时原厂包装完好，无任何质量缺陷；设备中所装的软件必须是最新的版本。2、中标人随设备提供设备的中文说明书、中文使用手册及合同第二条（二）中列明的相关法律文件资料。3、安装调试完毕后，所有设备必须能保证能正常运行并满足采购人购买时所声明的使用需求。4、质量验收不限于以上标准，其中未包括的内容，执行现行的适用于该设备的国家和行业最高标准。</w:t>
            </w:r>
          </w:p>
        </w:tc>
      </w:tr>
      <w:tr w14:paraId="45F87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6723CBEF">
            <w:pPr>
              <w:spacing w:line="360" w:lineRule="auto"/>
            </w:pPr>
            <w:r>
              <w:rPr>
                <w:rFonts w:hint="eastAsia"/>
              </w:rPr>
              <w:t xml:space="preserve">⑤ </w:t>
            </w:r>
            <w:r>
              <w:t>其他</w:t>
            </w:r>
            <w:r>
              <w:rPr>
                <w:rFonts w:hint="eastAsia"/>
              </w:rPr>
              <w:t>要求</w:t>
            </w:r>
          </w:p>
        </w:tc>
        <w:tc>
          <w:tcPr>
            <w:tcW w:w="6663" w:type="dxa"/>
          </w:tcPr>
          <w:p w14:paraId="628FDFDE">
            <w:pPr>
              <w:spacing w:line="360" w:lineRule="auto"/>
              <w:jc w:val="left"/>
              <w:rPr>
                <w:bCs/>
                <w:szCs w:val="21"/>
              </w:rPr>
            </w:pPr>
            <w:r>
              <w:rPr>
                <w:rFonts w:hint="eastAsia"/>
                <w:bCs/>
                <w:szCs w:val="21"/>
              </w:rPr>
              <w:t>1、产品要求：投标提供的设备为原制造商制造的全新产品，无污染，无侵权行为、无划损、无任何缺陷隐患，在中国境内可依常规安全合法使用。</w:t>
            </w:r>
          </w:p>
          <w:p w14:paraId="55D46251">
            <w:pPr>
              <w:spacing w:line="360" w:lineRule="auto"/>
              <w:jc w:val="left"/>
              <w:rPr>
                <w:bCs/>
                <w:szCs w:val="21"/>
              </w:rPr>
            </w:pPr>
            <w:r>
              <w:rPr>
                <w:rFonts w:hint="eastAsia"/>
                <w:bCs/>
                <w:szCs w:val="21"/>
              </w:rPr>
              <w:t>2、投标报价要求：包括但不限于所有货物、配件、搬运、专用工具购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14:paraId="5BF35770">
            <w:pPr>
              <w:spacing w:line="360" w:lineRule="auto"/>
              <w:jc w:val="left"/>
              <w:rPr>
                <w:bCs/>
                <w:szCs w:val="21"/>
              </w:rPr>
            </w:pPr>
            <w:r>
              <w:rPr>
                <w:rFonts w:hint="eastAsia"/>
                <w:bCs/>
                <w:szCs w:val="21"/>
              </w:rPr>
              <w:t>3、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14:paraId="55596BF6">
            <w:pPr>
              <w:spacing w:line="360" w:lineRule="auto"/>
              <w:jc w:val="left"/>
              <w:rPr>
                <w:bCs/>
                <w:szCs w:val="21"/>
              </w:rPr>
            </w:pPr>
            <w:r>
              <w:rPr>
                <w:rFonts w:hint="eastAsia"/>
                <w:bCs/>
                <w:szCs w:val="21"/>
              </w:rPr>
              <w:t>4、售后服务：（1）整机(</w:t>
            </w:r>
            <w:r>
              <w:rPr>
                <w:rFonts w:hint="eastAsia"/>
                <w:b/>
                <w:bCs/>
                <w:szCs w:val="21"/>
              </w:rPr>
              <w:t>含所有零配件、易损易耗品</w:t>
            </w:r>
            <w:r>
              <w:rPr>
                <w:rFonts w:hint="eastAsia"/>
                <w:bCs/>
                <w:szCs w:val="21"/>
              </w:rPr>
              <w:t>)原厂保修期</w:t>
            </w:r>
            <w:r>
              <w:rPr>
                <w:rFonts w:hint="eastAsia"/>
                <w:b/>
                <w:bCs/>
                <w:szCs w:val="21"/>
              </w:rPr>
              <w:t>至少三年</w:t>
            </w:r>
            <w:r>
              <w:rPr>
                <w:rFonts w:hint="eastAsia"/>
                <w:bCs/>
                <w:szCs w:val="21"/>
              </w:rPr>
              <w:t>，乙方需提供设备生产商或国内总代理上述保修方案的服务书。该服务书包括但不限于售后服务内容及联系电话、采购项目编号、采购项目名称、所投设备名称、采购人名称、制造商或国内总代理名称、落款日期等内容。（由此产生的费用已包含在本合同总价中）。自用户验收合格之日起计，提供正版软件终身升级服务（该费用已包含在本合同总价中）。</w:t>
            </w:r>
          </w:p>
          <w:p w14:paraId="0A151102">
            <w:pPr>
              <w:spacing w:line="360" w:lineRule="auto"/>
              <w:jc w:val="left"/>
              <w:rPr>
                <w:bCs/>
                <w:szCs w:val="21"/>
              </w:rPr>
            </w:pPr>
            <w:r>
              <w:rPr>
                <w:rFonts w:hint="eastAsia"/>
                <w:bCs/>
                <w:szCs w:val="21"/>
              </w:rPr>
              <w:t xml:space="preserve">（2）①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②保修期内至少每季度1次按生产商保养标准做1次保养（该费用已包含在本合同总价中），并出具报告交采购人设备科留存。③保修期后，供应商对设备实行终身上门维修，终身上门保养（≥1次/年），并提供维修保养报告（该费用已包含在合同总价中）。供应商未履行前述维修和保养服务的，采购人有权不支付尾款，尾款金额不足以赔偿采购人损失的，采购人有权要求供应商承担继续赔偿责任。    </w:t>
            </w:r>
          </w:p>
          <w:p w14:paraId="1CDB4E87">
            <w:pPr>
              <w:spacing w:line="360" w:lineRule="auto"/>
              <w:jc w:val="left"/>
              <w:rPr>
                <w:bCs/>
                <w:szCs w:val="21"/>
              </w:rPr>
            </w:pPr>
            <w:r>
              <w:rPr>
                <w:rFonts w:hint="eastAsia"/>
                <w:bCs/>
                <w:szCs w:val="21"/>
              </w:rPr>
              <w:t>（3）承担设备首次计量校准费用。</w:t>
            </w:r>
          </w:p>
          <w:p w14:paraId="11685891">
            <w:pPr>
              <w:spacing w:line="360" w:lineRule="auto"/>
              <w:jc w:val="left"/>
              <w:rPr>
                <w:bCs/>
                <w:szCs w:val="21"/>
              </w:rPr>
            </w:pPr>
            <w:r>
              <w:rPr>
                <w:rFonts w:hint="eastAsia"/>
                <w:bCs/>
                <w:szCs w:val="21"/>
              </w:rPr>
              <w:t>5、培训要求：中标人负责培训采购人有关技术人员，直至掌握操作技术为止。在仪器正常使用期间，中标人须负责该设备的技术咨询。</w:t>
            </w:r>
          </w:p>
          <w:p w14:paraId="6262E109">
            <w:pPr>
              <w:spacing w:line="360" w:lineRule="auto"/>
              <w:jc w:val="left"/>
              <w:rPr>
                <w:bCs/>
                <w:szCs w:val="21"/>
              </w:rPr>
            </w:pPr>
            <w:r>
              <w:rPr>
                <w:rFonts w:hint="eastAsia"/>
                <w:bCs/>
                <w:szCs w:val="21"/>
              </w:rPr>
              <w:t>6、知识产权：中标人保证合同项下提供的设备不侵犯任何第三方的专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14:paraId="6A8B43F8">
      <w:pPr>
        <w:spacing w:line="360" w:lineRule="auto"/>
      </w:pPr>
    </w:p>
    <w:sectPr>
      <w:pgSz w:w="11906" w:h="16838"/>
      <w:pgMar w:top="1440" w:right="1800" w:bottom="42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仿宋">
    <w:altName w:val="仿宋"/>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GZiYTExY2E3M2I0MzhmNDRjMDhlMTdlY2VlYmUifQ=="/>
  </w:docVars>
  <w:rsids>
    <w:rsidRoot w:val="00CE35EB"/>
    <w:rsid w:val="000144B2"/>
    <w:rsid w:val="00022EFA"/>
    <w:rsid w:val="00043EF5"/>
    <w:rsid w:val="00070DD7"/>
    <w:rsid w:val="00074123"/>
    <w:rsid w:val="0008595D"/>
    <w:rsid w:val="000A2591"/>
    <w:rsid w:val="000C2191"/>
    <w:rsid w:val="000C2559"/>
    <w:rsid w:val="000C7E78"/>
    <w:rsid w:val="000F2543"/>
    <w:rsid w:val="000F2734"/>
    <w:rsid w:val="000F75BA"/>
    <w:rsid w:val="00100DBA"/>
    <w:rsid w:val="00111C33"/>
    <w:rsid w:val="00140B25"/>
    <w:rsid w:val="001A350B"/>
    <w:rsid w:val="001B20EF"/>
    <w:rsid w:val="001C10CE"/>
    <w:rsid w:val="001D52B0"/>
    <w:rsid w:val="001D5C7E"/>
    <w:rsid w:val="001F4128"/>
    <w:rsid w:val="00232E4B"/>
    <w:rsid w:val="002404B3"/>
    <w:rsid w:val="00260911"/>
    <w:rsid w:val="00275958"/>
    <w:rsid w:val="002C2158"/>
    <w:rsid w:val="003031D2"/>
    <w:rsid w:val="00311E7F"/>
    <w:rsid w:val="003536ED"/>
    <w:rsid w:val="00353A1C"/>
    <w:rsid w:val="00355391"/>
    <w:rsid w:val="00360569"/>
    <w:rsid w:val="0036203F"/>
    <w:rsid w:val="00392AD1"/>
    <w:rsid w:val="003A1C57"/>
    <w:rsid w:val="003B5BBD"/>
    <w:rsid w:val="003C700F"/>
    <w:rsid w:val="003E33C7"/>
    <w:rsid w:val="003F3D39"/>
    <w:rsid w:val="004271D6"/>
    <w:rsid w:val="00430231"/>
    <w:rsid w:val="0045573B"/>
    <w:rsid w:val="00455D3D"/>
    <w:rsid w:val="00473900"/>
    <w:rsid w:val="004901B0"/>
    <w:rsid w:val="004D533E"/>
    <w:rsid w:val="004E1053"/>
    <w:rsid w:val="004F127F"/>
    <w:rsid w:val="004F3F45"/>
    <w:rsid w:val="00502107"/>
    <w:rsid w:val="005024DE"/>
    <w:rsid w:val="00510DE3"/>
    <w:rsid w:val="00515727"/>
    <w:rsid w:val="00543040"/>
    <w:rsid w:val="005441B4"/>
    <w:rsid w:val="005803D5"/>
    <w:rsid w:val="00595D7D"/>
    <w:rsid w:val="005B6097"/>
    <w:rsid w:val="005E2E53"/>
    <w:rsid w:val="005E7652"/>
    <w:rsid w:val="00647249"/>
    <w:rsid w:val="00657FAD"/>
    <w:rsid w:val="0067283E"/>
    <w:rsid w:val="006A6624"/>
    <w:rsid w:val="006C3B09"/>
    <w:rsid w:val="006D0AA5"/>
    <w:rsid w:val="00723790"/>
    <w:rsid w:val="007449A7"/>
    <w:rsid w:val="007756FD"/>
    <w:rsid w:val="007A06CF"/>
    <w:rsid w:val="007B79E4"/>
    <w:rsid w:val="007C7D9B"/>
    <w:rsid w:val="007D7C66"/>
    <w:rsid w:val="007E2963"/>
    <w:rsid w:val="00811633"/>
    <w:rsid w:val="00812DF4"/>
    <w:rsid w:val="00814C7F"/>
    <w:rsid w:val="00824266"/>
    <w:rsid w:val="008301C7"/>
    <w:rsid w:val="008467A8"/>
    <w:rsid w:val="00891A09"/>
    <w:rsid w:val="008B7CE7"/>
    <w:rsid w:val="008C01AA"/>
    <w:rsid w:val="008C2B2E"/>
    <w:rsid w:val="008F0B96"/>
    <w:rsid w:val="0090666E"/>
    <w:rsid w:val="00915B76"/>
    <w:rsid w:val="009536CE"/>
    <w:rsid w:val="00965EA1"/>
    <w:rsid w:val="00971E56"/>
    <w:rsid w:val="0098133A"/>
    <w:rsid w:val="009967B2"/>
    <w:rsid w:val="009A5096"/>
    <w:rsid w:val="009B1881"/>
    <w:rsid w:val="009C06ED"/>
    <w:rsid w:val="00A03DFC"/>
    <w:rsid w:val="00A2387F"/>
    <w:rsid w:val="00A41983"/>
    <w:rsid w:val="00AB5A5A"/>
    <w:rsid w:val="00AC2AAE"/>
    <w:rsid w:val="00AD0C59"/>
    <w:rsid w:val="00AD31C6"/>
    <w:rsid w:val="00AE18BB"/>
    <w:rsid w:val="00AF0FE7"/>
    <w:rsid w:val="00B0212A"/>
    <w:rsid w:val="00B15BC2"/>
    <w:rsid w:val="00B51D64"/>
    <w:rsid w:val="00B54242"/>
    <w:rsid w:val="00B631E1"/>
    <w:rsid w:val="00B7011C"/>
    <w:rsid w:val="00B9368D"/>
    <w:rsid w:val="00BA2AD8"/>
    <w:rsid w:val="00BC72F0"/>
    <w:rsid w:val="00BD4999"/>
    <w:rsid w:val="00BD6717"/>
    <w:rsid w:val="00C30EC5"/>
    <w:rsid w:val="00C74D09"/>
    <w:rsid w:val="00C913DB"/>
    <w:rsid w:val="00C97099"/>
    <w:rsid w:val="00CC23A4"/>
    <w:rsid w:val="00CC3F01"/>
    <w:rsid w:val="00CE35EB"/>
    <w:rsid w:val="00CF72DC"/>
    <w:rsid w:val="00D00FE5"/>
    <w:rsid w:val="00D049EF"/>
    <w:rsid w:val="00D1694B"/>
    <w:rsid w:val="00D2439D"/>
    <w:rsid w:val="00D32C33"/>
    <w:rsid w:val="00D548CE"/>
    <w:rsid w:val="00D54911"/>
    <w:rsid w:val="00D55C95"/>
    <w:rsid w:val="00D727CB"/>
    <w:rsid w:val="00D74460"/>
    <w:rsid w:val="00D8647E"/>
    <w:rsid w:val="00D8671A"/>
    <w:rsid w:val="00DB7160"/>
    <w:rsid w:val="00DE3C72"/>
    <w:rsid w:val="00E06D6A"/>
    <w:rsid w:val="00E160E1"/>
    <w:rsid w:val="00E36425"/>
    <w:rsid w:val="00E63EF0"/>
    <w:rsid w:val="00E749A3"/>
    <w:rsid w:val="00E76FC9"/>
    <w:rsid w:val="00E87C42"/>
    <w:rsid w:val="00EC4A4C"/>
    <w:rsid w:val="00F0111E"/>
    <w:rsid w:val="00F06225"/>
    <w:rsid w:val="00F3475A"/>
    <w:rsid w:val="00F35112"/>
    <w:rsid w:val="00F7023F"/>
    <w:rsid w:val="00F72C24"/>
    <w:rsid w:val="00F86435"/>
    <w:rsid w:val="00F868EC"/>
    <w:rsid w:val="00FB74F6"/>
    <w:rsid w:val="00FC45BC"/>
    <w:rsid w:val="00FC6EFF"/>
    <w:rsid w:val="00FD5CEA"/>
    <w:rsid w:val="00FE169A"/>
    <w:rsid w:val="00FF3AE3"/>
    <w:rsid w:val="221428D1"/>
    <w:rsid w:val="301D77AB"/>
    <w:rsid w:val="346757EC"/>
    <w:rsid w:val="4FCA0B10"/>
    <w:rsid w:val="65521052"/>
    <w:rsid w:val="67D31034"/>
    <w:rsid w:val="7EC70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semiHidden/>
    <w:unhideWhenUsed/>
    <w:qFormat/>
    <w:uiPriority w:val="99"/>
    <w:pPr>
      <w:spacing w:after="120"/>
      <w:ind w:left="420" w:leftChars="200"/>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7">
    <w:name w:val="Body Text First Indent 2"/>
    <w:basedOn w:val="2"/>
    <w:link w:val="15"/>
    <w:unhideWhenUsed/>
    <w:qFormat/>
    <w:uiPriority w:val="99"/>
    <w:pPr>
      <w:ind w:firstLine="420" w:firstLineChars="200"/>
    </w:pPr>
  </w:style>
  <w:style w:type="table" w:styleId="9">
    <w:name w:val="Table Grid"/>
    <w:basedOn w:val="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页眉 Char"/>
    <w:basedOn w:val="10"/>
    <w:link w:val="5"/>
    <w:qFormat/>
    <w:uiPriority w:val="99"/>
    <w:rPr>
      <w:sz w:val="18"/>
      <w:szCs w:val="18"/>
    </w:rPr>
  </w:style>
  <w:style w:type="character" w:customStyle="1" w:styleId="13">
    <w:name w:val="页脚 Char"/>
    <w:basedOn w:val="10"/>
    <w:link w:val="4"/>
    <w:qFormat/>
    <w:uiPriority w:val="99"/>
    <w:rPr>
      <w:sz w:val="18"/>
      <w:szCs w:val="18"/>
    </w:rPr>
  </w:style>
  <w:style w:type="character" w:customStyle="1" w:styleId="14">
    <w:name w:val="正文文本缩进 Char"/>
    <w:basedOn w:val="10"/>
    <w:link w:val="2"/>
    <w:semiHidden/>
    <w:qFormat/>
    <w:uiPriority w:val="99"/>
    <w:rPr>
      <w:szCs w:val="24"/>
    </w:rPr>
  </w:style>
  <w:style w:type="character" w:customStyle="1" w:styleId="15">
    <w:name w:val="正文首行缩进 2 Char"/>
    <w:basedOn w:val="14"/>
    <w:link w:val="7"/>
    <w:qFormat/>
    <w:uiPriority w:val="99"/>
    <w:rPr>
      <w:szCs w:val="24"/>
    </w:rPr>
  </w:style>
  <w:style w:type="character" w:customStyle="1" w:styleId="16">
    <w:name w:val="批注框文本 Char"/>
    <w:basedOn w:val="10"/>
    <w:link w:val="3"/>
    <w:semiHidden/>
    <w:qFormat/>
    <w:uiPriority w:val="99"/>
    <w:rPr>
      <w:sz w:val="18"/>
      <w:szCs w:val="18"/>
    </w:rPr>
  </w:style>
  <w:style w:type="paragraph" w:styleId="17">
    <w:name w:val="List Paragraph"/>
    <w:basedOn w:val="1"/>
    <w:qFormat/>
    <w:uiPriority w:val="1"/>
    <w:pPr>
      <w:spacing w:before="125"/>
      <w:ind w:left="1255" w:hanging="181"/>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2677</Words>
  <Characters>2706</Characters>
  <Lines>20</Lines>
  <Paragraphs>5</Paragraphs>
  <TotalTime>0</TotalTime>
  <ScaleCrop>false</ScaleCrop>
  <LinksUpToDate>false</LinksUpToDate>
  <CharactersWithSpaces>2717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2026-01-14T10:02:00Z</dcterms:created>
  <dc:creator>何烷桦</dc:creator>
  <cp:lastModifiedBy>  </cp:lastModifiedBy>
  <dcterms:modified xsi:type="dcterms:W3CDTF">2026-05-13T10:37:51Z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AFC0A2A5A84F487E92AFF18F64352467_13</vt:lpwstr>
  </property>
  <property fmtid="{D5CDD505-2E9C-101B-9397-08002B2CF9AE}" pid="4" name="KSOTemplateDocerSaveRecord">
    <vt:lpwstr>eyJoZGlkIjoiNjI4MGFhMzNkNWViMDFkODMyYzBmYmY3MjUyOWZjODUiLCJ1c2VySWQiOiIzNzE4MDk3NDIifQ==</vt:lpwstr>
  </property>
</Properties>
</file>