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便携式睡眠检测仪（含非接触式和接触式）</w:t>
      </w:r>
      <w:r>
        <w:rPr>
          <w:rFonts w:hint="eastAsia" w:ascii="方正小标宋简体" w:hAnsi="宋体" w:eastAsia="方正小标宋简体" w:cs="宋体"/>
          <w:kern w:val="0"/>
          <w:sz w:val="36"/>
          <w:szCs w:val="36"/>
        </w:rPr>
        <w:t>项目（YL2026006</w:t>
      </w:r>
      <w:r>
        <w:rPr>
          <w:rFonts w:hint="eastAsia" w:ascii="方正小标宋简体" w:hAnsi="宋体" w:eastAsia="方正小标宋简体" w:cs="宋体"/>
          <w:kern w:val="0"/>
          <w:sz w:val="36"/>
          <w:szCs w:val="36"/>
          <w:lang w:val="en-US" w:eastAsia="zh-CN"/>
        </w:rPr>
        <w:t>4</w:t>
      </w:r>
      <w:bookmarkStart w:id="0" w:name="_GoBack"/>
      <w:bookmarkEnd w:id="0"/>
      <w:r>
        <w:rPr>
          <w:rFonts w:hint="eastAsia" w:ascii="方正小标宋简体" w:hAnsi="宋体" w:eastAsia="方正小标宋简体" w:cs="宋体"/>
          <w:kern w:val="0"/>
          <w:sz w:val="36"/>
          <w:szCs w:val="36"/>
        </w:rPr>
        <w:t>）</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根据各投标人对“采购需求” 中“具体技术(参数)要求” 带“▲”号的重要技术参数、要求的应响情况（共 </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条）进行评审：对比各响应文件“▲”号的重要技术参数、要求，最高得</w:t>
            </w:r>
            <w:r>
              <w:rPr>
                <w:rFonts w:hint="eastAsia" w:ascii="宋体" w:hAnsi="宋体" w:cs="宋体"/>
                <w:color w:val="000000"/>
                <w:kern w:val="0"/>
                <w:sz w:val="18"/>
                <w:szCs w:val="18"/>
                <w:lang w:val="en-US" w:eastAsia="zh-CN" w:bidi="ar"/>
              </w:rPr>
              <w:t>18</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65AF5F88">
        <w:tblPrEx>
          <w:tblCellMar>
            <w:top w:w="0" w:type="dxa"/>
            <w:left w:w="108" w:type="dxa"/>
            <w:bottom w:w="0" w:type="dxa"/>
            <w:right w:w="108" w:type="dxa"/>
          </w:tblCellMar>
        </w:tblPrEx>
        <w:trPr>
          <w:trHeight w:val="22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B91B">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B23C">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不带“▲”号条款的一般性技术参数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622">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根据各投标人对“采购需求”中“具体技术(参数)要求”不带“▲”、“★”号的一般技术参数、要求的应响情况（</w:t>
            </w:r>
            <w:r>
              <w:rPr>
                <w:rFonts w:hint="eastAsia" w:ascii="宋体" w:hAnsi="宋体" w:cs="宋体"/>
                <w:color w:val="000000"/>
                <w:kern w:val="0"/>
                <w:sz w:val="18"/>
                <w:szCs w:val="18"/>
                <w:lang w:val="en-US" w:eastAsia="zh-CN" w:bidi="ar"/>
              </w:rPr>
              <w:t>19</w:t>
            </w:r>
            <w:r>
              <w:rPr>
                <w:rFonts w:hint="eastAsia" w:ascii="宋体" w:hAnsi="宋体" w:cs="宋体"/>
                <w:color w:val="000000"/>
                <w:kern w:val="0"/>
                <w:sz w:val="18"/>
                <w:szCs w:val="18"/>
                <w:lang w:bidi="ar"/>
              </w:rPr>
              <w:t>条）进行评审：对比各响应文件不带“▲”、“★”号的一般技术参数、要求，最高得</w:t>
            </w:r>
            <w:r>
              <w:rPr>
                <w:rFonts w:hint="eastAsia" w:ascii="宋体" w:hAnsi="宋体" w:cs="宋体"/>
                <w:color w:val="000000"/>
                <w:kern w:val="0"/>
                <w:sz w:val="18"/>
                <w:szCs w:val="18"/>
                <w:lang w:val="en-US" w:eastAsia="zh-CN" w:bidi="ar"/>
              </w:rPr>
              <w:t>12</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094">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8E20">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0D8">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对比各投标人2023年1月1日至今同类产品业绩，本项最高得3分；无同类产品业绩的，不得分。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7746D48"/>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5344CA"/>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386843"/>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1161</Words>
  <Characters>1198</Characters>
  <Lines>9</Lines>
  <Paragraphs>2</Paragraphs>
  <TotalTime>4</TotalTime>
  <ScaleCrop>false</ScaleCrop>
  <LinksUpToDate>false</LinksUpToDate>
  <CharactersWithSpaces>1209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2026-05-13T10:33:01Z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FE63D3BAE5E54383950D472D968FAE1C_13</vt:lpwstr>
  </property>
</Properties>
</file>