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4AB4F">
      <w:pPr>
        <w:spacing w:line="360" w:lineRule="auto"/>
        <w:jc w:val="center"/>
        <w:rPr>
          <w:rFonts w:hint="eastAsia" w:eastAsiaTheme="minorEastAsia"/>
          <w:lang w:eastAsia="zh-CN"/>
        </w:rPr>
      </w:pPr>
      <w:r>
        <w:rPr>
          <w:rFonts w:hint="eastAsia"/>
          <w:b/>
          <w:sz w:val="36"/>
        </w:rPr>
        <w:t>人体成分分析仪</w:t>
      </w:r>
      <w:r>
        <w:rPr>
          <w:b/>
          <w:sz w:val="36"/>
        </w:rPr>
        <w:t>采购需求</w:t>
      </w:r>
      <w:r>
        <w:rPr>
          <w:rFonts w:hint="eastAsia"/>
          <w:b/>
          <w:sz w:val="36"/>
          <w:lang w:eastAsia="zh-CN"/>
        </w:rPr>
        <w:t>（YL2026006</w:t>
      </w:r>
      <w:r>
        <w:rPr>
          <w:rFonts w:hint="eastAsia"/>
          <w:b/>
          <w:sz w:val="36"/>
          <w:lang w:val="en-US" w:eastAsia="zh-CN"/>
        </w:rPr>
        <w:t>3</w:t>
      </w:r>
      <w:r>
        <w:rPr>
          <w:rFonts w:hint="eastAsia"/>
          <w:b/>
          <w:sz w:val="36"/>
          <w:lang w:eastAsia="zh-CN"/>
        </w:rPr>
        <w:t>）</w:t>
      </w:r>
    </w:p>
    <w:p w14:paraId="21EEE408">
      <w:pPr>
        <w:spacing w:line="360" w:lineRule="auto"/>
        <w:rPr>
          <w:b/>
          <w:sz w:val="28"/>
        </w:rPr>
      </w:pPr>
      <w:r>
        <w:rPr>
          <w:b/>
          <w:sz w:val="28"/>
        </w:rPr>
        <w:t>一、项目概况：</w:t>
      </w:r>
    </w:p>
    <w:p w14:paraId="5522C621">
      <w:pPr>
        <w:spacing w:line="360" w:lineRule="auto"/>
        <w:ind w:firstLine="420"/>
      </w:pPr>
      <w:r>
        <w:rPr>
          <w:rFonts w:hint="eastAsia"/>
        </w:rPr>
        <w:t>本次采购内容为江门市妇幼保健院</w:t>
      </w:r>
      <w:r>
        <w:rPr>
          <w:rFonts w:hint="eastAsia"/>
          <w:b/>
        </w:rPr>
        <w:t>医疗设备项目院内采购项目</w:t>
      </w:r>
      <w:r>
        <w:rPr>
          <w:rFonts w:hint="eastAsia"/>
        </w:rPr>
        <w:t>（具体详见技术要求）。</w:t>
      </w:r>
    </w:p>
    <w:p w14:paraId="78165B13">
      <w:pPr>
        <w:spacing w:line="360" w:lineRule="auto"/>
      </w:pPr>
      <w:r>
        <w:rPr>
          <w:rFonts w:hint="eastAsia"/>
          <w:b/>
          <w:sz w:val="24"/>
        </w:rPr>
        <w:t>1-1</w:t>
      </w:r>
      <w:r>
        <w:rPr>
          <w:b/>
          <w:sz w:val="24"/>
        </w:rPr>
        <w:t>技术标准与要求</w:t>
      </w:r>
    </w:p>
    <w:tbl>
      <w:tblPr>
        <w:tblStyle w:val="8"/>
        <w:tblW w:w="886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7"/>
        <w:gridCol w:w="1701"/>
        <w:gridCol w:w="1077"/>
        <w:gridCol w:w="1077"/>
        <w:gridCol w:w="1077"/>
        <w:gridCol w:w="1077"/>
        <w:gridCol w:w="1443"/>
      </w:tblGrid>
      <w:tr w14:paraId="1526C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4DFD3C33">
            <w:pPr>
              <w:spacing w:line="360" w:lineRule="auto"/>
              <w:jc w:val="center"/>
            </w:pPr>
            <w:r>
              <w:rPr>
                <w:rFonts w:hint="eastAsia"/>
              </w:rPr>
              <w:t>项目编号</w:t>
            </w:r>
          </w:p>
        </w:tc>
        <w:tc>
          <w:tcPr>
            <w:tcW w:w="1701" w:type="dxa"/>
            <w:vAlign w:val="center"/>
          </w:tcPr>
          <w:p w14:paraId="7A1C29F5">
            <w:pPr>
              <w:spacing w:line="360" w:lineRule="auto"/>
              <w:jc w:val="center"/>
            </w:pPr>
            <w:r>
              <w:rPr>
                <w:rFonts w:hint="eastAsia"/>
              </w:rPr>
              <w:t>项目</w:t>
            </w:r>
            <w:r>
              <w:t>名称</w:t>
            </w:r>
          </w:p>
        </w:tc>
        <w:tc>
          <w:tcPr>
            <w:tcW w:w="1077" w:type="dxa"/>
            <w:vAlign w:val="center"/>
          </w:tcPr>
          <w:p w14:paraId="4BE61CB5">
            <w:pPr>
              <w:spacing w:line="360" w:lineRule="auto"/>
              <w:jc w:val="center"/>
            </w:pPr>
            <w:r>
              <w:t>单位</w:t>
            </w:r>
          </w:p>
        </w:tc>
        <w:tc>
          <w:tcPr>
            <w:tcW w:w="1077" w:type="dxa"/>
            <w:vAlign w:val="center"/>
          </w:tcPr>
          <w:p w14:paraId="2D3D43D7">
            <w:pPr>
              <w:spacing w:line="360" w:lineRule="auto"/>
              <w:jc w:val="center"/>
            </w:pPr>
            <w:r>
              <w:t>数量</w:t>
            </w:r>
          </w:p>
        </w:tc>
        <w:tc>
          <w:tcPr>
            <w:tcW w:w="1077" w:type="dxa"/>
            <w:vAlign w:val="center"/>
          </w:tcPr>
          <w:p w14:paraId="047EBF55">
            <w:pPr>
              <w:spacing w:line="360" w:lineRule="auto"/>
              <w:jc w:val="center"/>
            </w:pPr>
            <w:r>
              <w:t>预算单价（</w:t>
            </w:r>
            <w:r>
              <w:rPr>
                <w:rFonts w:hint="eastAsia"/>
              </w:rPr>
              <w:t>万</w:t>
            </w:r>
            <w:r>
              <w:t>元）</w:t>
            </w:r>
          </w:p>
        </w:tc>
        <w:tc>
          <w:tcPr>
            <w:tcW w:w="1077" w:type="dxa"/>
            <w:vAlign w:val="center"/>
          </w:tcPr>
          <w:p w14:paraId="22EF04F8">
            <w:pPr>
              <w:spacing w:line="360" w:lineRule="auto"/>
              <w:jc w:val="center"/>
            </w:pPr>
            <w:r>
              <w:t>预算总价（</w:t>
            </w:r>
            <w:r>
              <w:rPr>
                <w:rFonts w:hint="eastAsia"/>
              </w:rPr>
              <w:t>万</w:t>
            </w:r>
            <w:r>
              <w:t>元）</w:t>
            </w:r>
          </w:p>
        </w:tc>
        <w:tc>
          <w:tcPr>
            <w:tcW w:w="1443" w:type="dxa"/>
            <w:vAlign w:val="center"/>
          </w:tcPr>
          <w:p w14:paraId="2F9666DC">
            <w:pPr>
              <w:spacing w:line="360" w:lineRule="auto"/>
              <w:jc w:val="center"/>
              <w:rPr>
                <w:b/>
              </w:rPr>
            </w:pPr>
            <w:r>
              <w:rPr>
                <w:b/>
              </w:rPr>
              <w:t>技术要求</w:t>
            </w:r>
          </w:p>
        </w:tc>
      </w:tr>
      <w:tr w14:paraId="65712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47C1A9B6">
            <w:pPr>
              <w:jc w:val="center"/>
              <w:rPr>
                <w:rFonts w:hint="eastAsia" w:eastAsiaTheme="minorEastAsia"/>
                <w:lang w:eastAsia="zh-CN"/>
              </w:rPr>
            </w:pPr>
            <w:r>
              <w:rPr>
                <w:rFonts w:hint="eastAsia"/>
              </w:rPr>
              <w:t>YL2026006</w:t>
            </w:r>
            <w:r>
              <w:rPr>
                <w:rFonts w:hint="eastAsia"/>
                <w:lang w:val="en-US" w:eastAsia="zh-CN"/>
              </w:rPr>
              <w:t>3</w:t>
            </w:r>
          </w:p>
        </w:tc>
        <w:tc>
          <w:tcPr>
            <w:tcW w:w="1701" w:type="dxa"/>
            <w:vAlign w:val="center"/>
          </w:tcPr>
          <w:p w14:paraId="5B1751B2">
            <w:pPr>
              <w:jc w:val="center"/>
              <w:rPr>
                <w:rFonts w:hint="default" w:eastAsiaTheme="minorEastAsia"/>
                <w:lang w:val="en-US" w:eastAsia="zh-CN"/>
              </w:rPr>
            </w:pPr>
            <w:r>
              <w:rPr>
                <w:rFonts w:hint="eastAsia"/>
                <w:lang w:val="en-US" w:eastAsia="zh-CN"/>
              </w:rPr>
              <w:t>人体成分分析仪</w:t>
            </w:r>
          </w:p>
        </w:tc>
        <w:tc>
          <w:tcPr>
            <w:tcW w:w="1077" w:type="dxa"/>
            <w:vAlign w:val="center"/>
          </w:tcPr>
          <w:p w14:paraId="15B0F864">
            <w:pPr>
              <w:jc w:val="center"/>
            </w:pPr>
            <w:r>
              <w:rPr>
                <w:rFonts w:hint="eastAsia"/>
              </w:rPr>
              <w:t>台</w:t>
            </w:r>
          </w:p>
        </w:tc>
        <w:tc>
          <w:tcPr>
            <w:tcW w:w="1077" w:type="dxa"/>
            <w:vAlign w:val="center"/>
          </w:tcPr>
          <w:p w14:paraId="6EADBDA0">
            <w:pPr>
              <w:jc w:val="center"/>
            </w:pPr>
            <w:r>
              <w:rPr>
                <w:rFonts w:hint="eastAsia"/>
              </w:rPr>
              <w:t>1</w:t>
            </w:r>
          </w:p>
        </w:tc>
        <w:tc>
          <w:tcPr>
            <w:tcW w:w="1077" w:type="dxa"/>
            <w:vAlign w:val="center"/>
          </w:tcPr>
          <w:p w14:paraId="1EF59C0D">
            <w:pPr>
              <w:jc w:val="center"/>
            </w:pPr>
            <w:r>
              <w:rPr>
                <w:rFonts w:hint="eastAsia"/>
                <w:lang w:val="en-US" w:eastAsia="zh-CN"/>
              </w:rPr>
              <w:t>2</w:t>
            </w:r>
            <w:r>
              <w:rPr>
                <w:rFonts w:hint="eastAsia"/>
              </w:rPr>
              <w:t>5</w:t>
            </w:r>
          </w:p>
        </w:tc>
        <w:tc>
          <w:tcPr>
            <w:tcW w:w="1077" w:type="dxa"/>
            <w:vAlign w:val="center"/>
          </w:tcPr>
          <w:p w14:paraId="0D172ADF">
            <w:pPr>
              <w:jc w:val="center"/>
            </w:pPr>
            <w:r>
              <w:rPr>
                <w:rFonts w:hint="eastAsia"/>
                <w:lang w:val="en-US" w:eastAsia="zh-CN"/>
              </w:rPr>
              <w:t>2</w:t>
            </w:r>
            <w:r>
              <w:rPr>
                <w:rFonts w:hint="eastAsia"/>
              </w:rPr>
              <w:t>5</w:t>
            </w:r>
          </w:p>
        </w:tc>
        <w:tc>
          <w:tcPr>
            <w:tcW w:w="1443" w:type="dxa"/>
            <w:vAlign w:val="center"/>
          </w:tcPr>
          <w:p w14:paraId="546F3D20">
            <w:pPr>
              <w:jc w:val="center"/>
              <w:rPr>
                <w:rFonts w:hint="eastAsia" w:eastAsiaTheme="minorEastAsia"/>
                <w:lang w:eastAsia="zh-CN"/>
              </w:rPr>
            </w:pPr>
            <w:r>
              <w:rPr>
                <w:rFonts w:hint="eastAsia"/>
              </w:rPr>
              <w:t>详见</w:t>
            </w:r>
            <w:r>
              <w:rPr>
                <w:rFonts w:hint="eastAsia"/>
                <w:lang w:eastAsia="zh-CN"/>
              </w:rPr>
              <w:t>以下</w:t>
            </w:r>
            <w:bookmarkStart w:id="0" w:name="_GoBack"/>
            <w:bookmarkEnd w:id="0"/>
            <w:r>
              <w:rPr>
                <w:rFonts w:hint="eastAsia"/>
              </w:rPr>
              <w:t>附表</w:t>
            </w:r>
            <w:r>
              <w:rPr>
                <w:rFonts w:hint="eastAsia"/>
                <w:lang w:eastAsia="zh-CN"/>
              </w:rPr>
              <w:t>一</w:t>
            </w:r>
          </w:p>
        </w:tc>
      </w:tr>
    </w:tbl>
    <w:p w14:paraId="0698F9CC">
      <w:pPr>
        <w:spacing w:line="480" w:lineRule="auto"/>
      </w:pPr>
      <w:r>
        <w:rPr>
          <w:b/>
          <w:sz w:val="24"/>
        </w:rPr>
        <w:t>附表</w:t>
      </w:r>
      <w:r>
        <w:rPr>
          <w:rFonts w:hint="eastAsia"/>
          <w:b/>
          <w:sz w:val="24"/>
        </w:rPr>
        <w:t>一</w:t>
      </w:r>
      <w:r>
        <w:rPr>
          <w:b/>
          <w:sz w:val="24"/>
        </w:rPr>
        <w:t>：</w:t>
      </w:r>
      <w:r>
        <w:t xml:space="preserve"> </w:t>
      </w:r>
    </w:p>
    <w:tbl>
      <w:tblPr>
        <w:tblStyle w:val="8"/>
        <w:tblW w:w="86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486"/>
        <w:gridCol w:w="7500"/>
      </w:tblGrid>
      <w:tr w14:paraId="101EE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5DD84F57">
            <w:r>
              <w:t>参数性质</w:t>
            </w:r>
          </w:p>
        </w:tc>
        <w:tc>
          <w:tcPr>
            <w:tcW w:w="486" w:type="dxa"/>
          </w:tcPr>
          <w:p w14:paraId="3B30E680">
            <w:r>
              <w:t>序号</w:t>
            </w:r>
          </w:p>
        </w:tc>
        <w:tc>
          <w:tcPr>
            <w:tcW w:w="7500" w:type="dxa"/>
            <w:vAlign w:val="center"/>
          </w:tcPr>
          <w:p w14:paraId="45DA9EED">
            <w:pPr>
              <w:jc w:val="center"/>
            </w:pPr>
            <w:r>
              <w:t>具体技术(参数)要求</w:t>
            </w:r>
          </w:p>
        </w:tc>
      </w:tr>
      <w:tr w14:paraId="5002E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0E46C9B6"/>
        </w:tc>
        <w:tc>
          <w:tcPr>
            <w:tcW w:w="486" w:type="dxa"/>
          </w:tcPr>
          <w:p w14:paraId="0B849914">
            <w:r>
              <w:rPr>
                <w:rFonts w:hint="eastAsia"/>
              </w:rPr>
              <w:t>1</w:t>
            </w:r>
          </w:p>
        </w:tc>
        <w:tc>
          <w:tcPr>
            <w:tcW w:w="7500" w:type="dxa"/>
          </w:tcPr>
          <w:tbl>
            <w:tblPr>
              <w:tblStyle w:val="9"/>
              <w:tblW w:w="7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Layout w:type="fixed"/>
              <w:tblCellMar>
                <w:top w:w="0" w:type="dxa"/>
                <w:left w:w="108" w:type="dxa"/>
                <w:bottom w:w="0" w:type="dxa"/>
                <w:right w:w="108" w:type="dxa"/>
              </w:tblCellMar>
            </w:tblPr>
            <w:tblGrid>
              <w:gridCol w:w="939"/>
              <w:gridCol w:w="6350"/>
            </w:tblGrid>
            <w:tr w14:paraId="5828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c>
                <w:tcPr>
                  <w:tcW w:w="939" w:type="dxa"/>
                  <w:shd w:val="clear" w:color="auto" w:fill="FDE9D9" w:themeFill="accent6" w:themeFillTint="33"/>
                  <w:vAlign w:val="center"/>
                </w:tcPr>
                <w:p w14:paraId="02636C3C">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序号</w:t>
                  </w:r>
                </w:p>
              </w:tc>
              <w:tc>
                <w:tcPr>
                  <w:tcW w:w="6350" w:type="dxa"/>
                  <w:shd w:val="clear" w:color="auto" w:fill="FDE9D9" w:themeFill="accent6" w:themeFillTint="33"/>
                  <w:vAlign w:val="center"/>
                </w:tcPr>
                <w:p w14:paraId="33049899">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技术和性能参数</w:t>
                  </w:r>
                  <w:r>
                    <w:rPr>
                      <w:rFonts w:hint="eastAsia" w:cs="Times New Roman" w:asciiTheme="minorEastAsia" w:hAnsiTheme="minorEastAsia" w:eastAsiaTheme="minorEastAsia"/>
                      <w:b/>
                      <w:kern w:val="0"/>
                      <w:sz w:val="22"/>
                      <w:szCs w:val="22"/>
                    </w:rPr>
                    <w:t>要求</w:t>
                  </w:r>
                </w:p>
              </w:tc>
            </w:tr>
            <w:tr w14:paraId="180A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39A28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r>
                    <w:rPr>
                      <w:rFonts w:hint="eastAsia" w:ascii="微软雅黑" w:hAnsi="微软雅黑" w:eastAsia="微软雅黑" w:cs="Arial"/>
                      <w:sz w:val="28"/>
                      <w:szCs w:val="28"/>
                    </w:rPr>
                    <w:t>★</w:t>
                  </w:r>
                  <w:r>
                    <w:rPr>
                      <w:rFonts w:hint="eastAsia" w:ascii="宋体" w:hAnsi="宋体" w:eastAsia="宋体" w:cs="宋体"/>
                      <w:b w:val="0"/>
                      <w:bCs/>
                      <w:kern w:val="0"/>
                      <w:sz w:val="24"/>
                      <w:szCs w:val="24"/>
                    </w:rPr>
                    <w:t>1</w:t>
                  </w:r>
                </w:p>
              </w:tc>
              <w:tc>
                <w:tcPr>
                  <w:tcW w:w="6350" w:type="dxa"/>
                  <w:shd w:val="clear" w:color="auto" w:fill="FDE9D9" w:themeFill="accent6" w:themeFillTint="33"/>
                  <w:vAlign w:val="center"/>
                </w:tcPr>
                <w:p w14:paraId="2E6BE1BF">
                  <w:pPr>
                    <w:keepNext w:val="0"/>
                    <w:keepLines w:val="0"/>
                    <w:pageBreakBefore w:val="0"/>
                    <w:widowControl w:val="0"/>
                    <w:tabs>
                      <w:tab w:val="left" w:pos="2268"/>
                    </w:tabs>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微软雅黑" w:hAnsi="微软雅黑" w:eastAsia="微软雅黑" w:cs="Arial"/>
                      <w:szCs w:val="21"/>
                    </w:rPr>
                    <w:t>测量方法：采用直接节段多频率生物电阻抗分析法（DSM-BIA法）及同时多频率生物电阻抗分析法（SMF-BIA）</w:t>
                  </w:r>
                  <w:r>
                    <w:rPr>
                      <w:rFonts w:hint="eastAsia" w:ascii="微软雅黑" w:hAnsi="微软雅黑" w:eastAsia="微软雅黑" w:cs="Arial"/>
                      <w:szCs w:val="21"/>
                      <w:lang w:eastAsia="zh-CN"/>
                    </w:rPr>
                    <w:t>；</w:t>
                  </w:r>
                  <w:r>
                    <w:rPr>
                      <w:rFonts w:hint="eastAsia" w:ascii="微软雅黑" w:hAnsi="微软雅黑" w:eastAsia="微软雅黑" w:cs="Arial"/>
                      <w:szCs w:val="21"/>
                      <w:lang w:val="en-US" w:eastAsia="zh-CN"/>
                    </w:rPr>
                    <w:t>测量模式有</w:t>
                  </w:r>
                  <w:r>
                    <w:rPr>
                      <w:rFonts w:hint="eastAsia" w:ascii="微软雅黑" w:hAnsi="微软雅黑" w:eastAsia="微软雅黑" w:cs="Arial"/>
                      <w:szCs w:val="21"/>
                    </w:rPr>
                    <w:t>简易模式及专业模式</w:t>
                  </w:r>
                  <w:r>
                    <w:rPr>
                      <w:rFonts w:hint="eastAsia" w:ascii="微软雅黑" w:hAnsi="微软雅黑" w:eastAsia="微软雅黑" w:cs="Arial"/>
                      <w:szCs w:val="21"/>
                      <w:lang w:eastAsia="zh-CN"/>
                    </w:rPr>
                    <w:t>；</w:t>
                  </w:r>
                  <w:r>
                    <w:rPr>
                      <w:rFonts w:hint="eastAsia" w:ascii="微软雅黑" w:hAnsi="微软雅黑" w:eastAsia="微软雅黑" w:cs="微软雅黑"/>
                      <w:szCs w:val="21"/>
                      <w:lang w:val="en-US" w:eastAsia="zh-CN"/>
                    </w:rPr>
                    <w:t>有</w:t>
                  </w:r>
                  <w:r>
                    <w:rPr>
                      <w:rFonts w:hint="eastAsia" w:ascii="微软雅黑" w:hAnsi="微软雅黑" w:eastAsia="微软雅黑" w:cs="微软雅黑"/>
                      <w:szCs w:val="21"/>
                    </w:rPr>
                    <w:t>生物电阻抗矢量分析（BIVA 图表）</w:t>
                  </w:r>
                </w:p>
              </w:tc>
            </w:tr>
            <w:tr w14:paraId="7AC6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DD065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▲2</w:t>
                  </w:r>
                </w:p>
              </w:tc>
              <w:tc>
                <w:tcPr>
                  <w:tcW w:w="6350" w:type="dxa"/>
                  <w:shd w:val="clear" w:color="auto" w:fill="FDE9D9" w:themeFill="accent6" w:themeFillTint="33"/>
                  <w:vAlign w:val="center"/>
                </w:tcPr>
                <w:p w14:paraId="742AD412">
                  <w:pPr>
                    <w:keepNext w:val="0"/>
                    <w:keepLines w:val="0"/>
                    <w:pageBreakBefore w:val="0"/>
                    <w:widowControl w:val="0"/>
                    <w:tabs>
                      <w:tab w:val="left" w:pos="2268"/>
                      <w:tab w:val="left" w:pos="3686"/>
                    </w:tabs>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微软雅黑" w:hAnsi="微软雅黑" w:eastAsia="微软雅黑" w:cs="微软雅黑"/>
                      <w:color w:val="000000"/>
                      <w:szCs w:val="21"/>
                    </w:rPr>
                    <w:t>可进行全身相位角和节段相位角（右上肢、 左上肢、躯干、右下肢、左下肢）测试（</w:t>
                  </w:r>
                  <w:r>
                    <w:rPr>
                      <w:rFonts w:hint="eastAsia" w:ascii="微软雅黑" w:hAnsi="微软雅黑" w:eastAsia="微软雅黑" w:cs="微软雅黑"/>
                      <w:color w:val="000000"/>
                      <w:szCs w:val="21"/>
                      <w:lang w:val="en-US" w:eastAsia="zh-CN"/>
                    </w:rPr>
                    <w:t>提供相关真实的佐证材料</w:t>
                  </w:r>
                  <w:r>
                    <w:rPr>
                      <w:rFonts w:hint="eastAsia" w:ascii="微软雅黑" w:hAnsi="微软雅黑" w:eastAsia="微软雅黑" w:cs="微软雅黑"/>
                      <w:color w:val="000000"/>
                      <w:szCs w:val="21"/>
                    </w:rPr>
                    <w:t>）</w:t>
                  </w:r>
                </w:p>
              </w:tc>
            </w:tr>
            <w:tr w14:paraId="46C3D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10DE24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r>
                    <w:rPr>
                      <w:rFonts w:hint="eastAsia" w:ascii="宋体" w:hAnsi="宋体" w:eastAsia="宋体" w:cs="宋体"/>
                      <w:b w:val="0"/>
                      <w:bCs/>
                      <w:kern w:val="0"/>
                      <w:sz w:val="24"/>
                      <w:szCs w:val="24"/>
                    </w:rPr>
                    <w:t>▲</w:t>
                  </w:r>
                  <w:r>
                    <w:rPr>
                      <w:rFonts w:hint="eastAsia" w:ascii="宋体" w:hAnsi="宋体" w:eastAsia="宋体" w:cs="宋体"/>
                      <w:b w:val="0"/>
                      <w:bCs/>
                      <w:sz w:val="24"/>
                      <w:szCs w:val="24"/>
                    </w:rPr>
                    <w:t>3</w:t>
                  </w:r>
                </w:p>
              </w:tc>
              <w:tc>
                <w:tcPr>
                  <w:tcW w:w="6350" w:type="dxa"/>
                  <w:shd w:val="clear" w:color="auto" w:fill="FDE9D9" w:themeFill="accent6" w:themeFillTint="33"/>
                  <w:vAlign w:val="center"/>
                </w:tcPr>
                <w:p w14:paraId="020B5677">
                  <w:pPr>
                    <w:keepNext w:val="0"/>
                    <w:keepLines w:val="0"/>
                    <w:pageBreakBefore w:val="0"/>
                    <w:widowControl w:val="0"/>
                    <w:tabs>
                      <w:tab w:val="left" w:pos="2268"/>
                      <w:tab w:val="left" w:pos="3686"/>
                    </w:tabs>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微软雅黑" w:hAnsi="微软雅黑" w:eastAsia="微软雅黑" w:cs="Arial"/>
                      <w:color w:val="000000"/>
                      <w:szCs w:val="21"/>
                    </w:rPr>
                    <w:t>人体成分计算方法：</w:t>
                  </w:r>
                  <w:r>
                    <w:rPr>
                      <w:rFonts w:hint="eastAsia" w:ascii="微软雅黑" w:hAnsi="微软雅黑" w:eastAsia="微软雅黑" w:cs="Arial"/>
                      <w:color w:val="000000"/>
                      <w:szCs w:val="21"/>
                      <w:lang w:val="en-US" w:eastAsia="zh-CN"/>
                    </w:rPr>
                    <w:t>非采用</w:t>
                  </w:r>
                  <w:r>
                    <w:rPr>
                      <w:rFonts w:hint="eastAsia" w:ascii="微软雅黑" w:hAnsi="微软雅黑" w:eastAsia="微软雅黑" w:cs="Arial"/>
                      <w:color w:val="000000"/>
                      <w:szCs w:val="21"/>
                    </w:rPr>
                    <w:t>经验值估算</w:t>
                  </w:r>
                  <w:r>
                    <w:rPr>
                      <w:rFonts w:hint="eastAsia" w:ascii="微软雅黑" w:hAnsi="微软雅黑" w:eastAsia="微软雅黑" w:cs="微软雅黑"/>
                      <w:color w:val="000000"/>
                      <w:szCs w:val="21"/>
                    </w:rPr>
                    <w:t>（</w:t>
                  </w:r>
                  <w:r>
                    <w:rPr>
                      <w:rFonts w:hint="eastAsia" w:ascii="微软雅黑" w:hAnsi="微软雅黑" w:eastAsia="微软雅黑" w:cs="微软雅黑"/>
                      <w:color w:val="000000"/>
                      <w:szCs w:val="21"/>
                      <w:lang w:val="en-US" w:eastAsia="zh-CN"/>
                    </w:rPr>
                    <w:t>提供相关真实的佐证材料</w:t>
                  </w:r>
                  <w:r>
                    <w:rPr>
                      <w:rFonts w:hint="eastAsia" w:ascii="微软雅黑" w:hAnsi="微软雅黑" w:eastAsia="微软雅黑" w:cs="微软雅黑"/>
                      <w:color w:val="000000"/>
                      <w:szCs w:val="21"/>
                    </w:rPr>
                    <w:t>）</w:t>
                  </w:r>
                </w:p>
              </w:tc>
            </w:tr>
            <w:tr w14:paraId="160B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7BF55A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r>
                    <w:rPr>
                      <w:rFonts w:hint="eastAsia" w:ascii="宋体" w:hAnsi="宋体" w:eastAsia="宋体" w:cs="宋体"/>
                      <w:b w:val="0"/>
                      <w:bCs/>
                      <w:kern w:val="0"/>
                      <w:sz w:val="24"/>
                      <w:szCs w:val="24"/>
                    </w:rPr>
                    <w:t>▲</w:t>
                  </w:r>
                  <w:r>
                    <w:rPr>
                      <w:rFonts w:hint="eastAsia" w:ascii="宋体" w:hAnsi="宋体" w:eastAsia="宋体" w:cs="宋体"/>
                      <w:b w:val="0"/>
                      <w:bCs/>
                      <w:sz w:val="24"/>
                      <w:szCs w:val="24"/>
                    </w:rPr>
                    <w:t>4</w:t>
                  </w:r>
                </w:p>
              </w:tc>
              <w:tc>
                <w:tcPr>
                  <w:tcW w:w="6350" w:type="dxa"/>
                  <w:shd w:val="clear" w:color="auto" w:fill="FDE9D9" w:themeFill="accent6" w:themeFillTint="33"/>
                  <w:vAlign w:val="center"/>
                </w:tcPr>
                <w:p w14:paraId="41B88342">
                  <w:pPr>
                    <w:keepNext w:val="0"/>
                    <w:keepLines w:val="0"/>
                    <w:pageBreakBefore w:val="0"/>
                    <w:widowControl w:val="0"/>
                    <w:tabs>
                      <w:tab w:val="left" w:pos="2268"/>
                      <w:tab w:val="left" w:pos="3686"/>
                    </w:tabs>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ascii="微软雅黑" w:hAnsi="微软雅黑" w:eastAsia="微软雅黑" w:cs="Arial"/>
                      <w:color w:val="000000"/>
                      <w:szCs w:val="21"/>
                      <w:lang w:val="en-US" w:eastAsia="zh-CN"/>
                    </w:rPr>
                    <w:t>有</w:t>
                  </w:r>
                  <w:r>
                    <w:rPr>
                      <w:rFonts w:hint="eastAsia" w:ascii="微软雅黑" w:hAnsi="微软雅黑" w:eastAsia="微软雅黑" w:cs="Arial"/>
                      <w:color w:val="000000"/>
                      <w:szCs w:val="21"/>
                    </w:rPr>
                    <w:t>内脏脂肪面积（精确到0.1 cm²）和内脏脂肪等级测量</w:t>
                  </w:r>
                  <w:r>
                    <w:rPr>
                      <w:rFonts w:hint="eastAsia" w:ascii="微软雅黑" w:hAnsi="微软雅黑" w:eastAsia="微软雅黑" w:cs="微软雅黑"/>
                      <w:color w:val="000000"/>
                      <w:szCs w:val="21"/>
                    </w:rPr>
                    <w:t>（</w:t>
                  </w:r>
                  <w:r>
                    <w:rPr>
                      <w:rFonts w:hint="eastAsia" w:ascii="微软雅黑" w:hAnsi="微软雅黑" w:eastAsia="微软雅黑" w:cs="微软雅黑"/>
                      <w:color w:val="000000"/>
                      <w:szCs w:val="21"/>
                      <w:lang w:val="en-US" w:eastAsia="zh-CN"/>
                    </w:rPr>
                    <w:t>提供相关真实的佐证材料</w:t>
                  </w:r>
                  <w:r>
                    <w:rPr>
                      <w:rFonts w:hint="eastAsia" w:ascii="微软雅黑" w:hAnsi="微软雅黑" w:eastAsia="微软雅黑" w:cs="微软雅黑"/>
                      <w:color w:val="000000"/>
                      <w:szCs w:val="21"/>
                    </w:rPr>
                    <w:t>）</w:t>
                  </w:r>
                </w:p>
              </w:tc>
            </w:tr>
            <w:tr w14:paraId="3521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CE1C0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r>
                    <w:rPr>
                      <w:rFonts w:hint="eastAsia" w:ascii="宋体" w:hAnsi="宋体" w:eastAsia="宋体" w:cs="宋体"/>
                      <w:b w:val="0"/>
                      <w:bCs/>
                      <w:kern w:val="0"/>
                      <w:sz w:val="24"/>
                      <w:szCs w:val="24"/>
                    </w:rPr>
                    <w:t>▲</w:t>
                  </w:r>
                  <w:r>
                    <w:rPr>
                      <w:rFonts w:hint="eastAsia" w:ascii="宋体" w:hAnsi="宋体" w:eastAsia="宋体" w:cs="宋体"/>
                      <w:b w:val="0"/>
                      <w:bCs/>
                      <w:sz w:val="24"/>
                      <w:szCs w:val="24"/>
                    </w:rPr>
                    <w:t>5</w:t>
                  </w:r>
                </w:p>
              </w:tc>
              <w:tc>
                <w:tcPr>
                  <w:tcW w:w="6350" w:type="dxa"/>
                  <w:shd w:val="clear" w:color="auto" w:fill="FDE9D9" w:themeFill="accent6" w:themeFillTint="33"/>
                  <w:vAlign w:val="center"/>
                </w:tcPr>
                <w:p w14:paraId="2EB326A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ascii="微软雅黑" w:hAnsi="微软雅黑" w:eastAsia="微软雅黑" w:cs="Arial"/>
                      <w:color w:val="000000"/>
                      <w:szCs w:val="21"/>
                    </w:rPr>
                    <w:t>身体围度测量：颈围、胸围、腹围、右上臂、左上臂、臀围、右大腿、左大腿</w:t>
                  </w:r>
                  <w:r>
                    <w:rPr>
                      <w:rFonts w:hint="eastAsia" w:ascii="微软雅黑" w:hAnsi="微软雅黑" w:eastAsia="微软雅黑" w:cs="微软雅黑"/>
                      <w:color w:val="000000"/>
                      <w:szCs w:val="21"/>
                    </w:rPr>
                    <w:t>（</w:t>
                  </w:r>
                  <w:r>
                    <w:rPr>
                      <w:rFonts w:hint="eastAsia" w:ascii="微软雅黑" w:hAnsi="微软雅黑" w:eastAsia="微软雅黑" w:cs="微软雅黑"/>
                      <w:color w:val="000000"/>
                      <w:szCs w:val="21"/>
                      <w:lang w:val="en-US" w:eastAsia="zh-CN"/>
                    </w:rPr>
                    <w:t>提供相关真实的佐证材料</w:t>
                  </w:r>
                  <w:r>
                    <w:rPr>
                      <w:rFonts w:hint="eastAsia" w:ascii="微软雅黑" w:hAnsi="微软雅黑" w:eastAsia="微软雅黑" w:cs="微软雅黑"/>
                      <w:color w:val="000000"/>
                      <w:szCs w:val="21"/>
                    </w:rPr>
                    <w:t>）</w:t>
                  </w:r>
                </w:p>
              </w:tc>
            </w:tr>
            <w:tr w14:paraId="5B24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73ACE7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lang w:val="en-US" w:eastAsia="zh-CN"/>
                    </w:rPr>
                  </w:pPr>
                  <w:r>
                    <w:rPr>
                      <w:rFonts w:hint="eastAsia" w:eastAsia="宋体" w:cs="Times New Roman" w:asciiTheme="minorEastAsia" w:hAnsiTheme="minorEastAsia"/>
                      <w:b w:val="0"/>
                      <w:bCs/>
                      <w:kern w:val="0"/>
                      <w:sz w:val="20"/>
                    </w:rPr>
                    <w:t>▲</w:t>
                  </w:r>
                  <w:r>
                    <w:rPr>
                      <w:rFonts w:hint="eastAsia" w:ascii="宋体" w:hAnsi="宋体" w:eastAsia="宋体" w:cs="宋体"/>
                      <w:b w:val="0"/>
                      <w:bCs/>
                      <w:kern w:val="0"/>
                      <w:sz w:val="24"/>
                      <w:szCs w:val="24"/>
                      <w:lang w:val="en-US" w:eastAsia="zh-CN"/>
                    </w:rPr>
                    <w:t>6</w:t>
                  </w:r>
                </w:p>
              </w:tc>
              <w:tc>
                <w:tcPr>
                  <w:tcW w:w="6350" w:type="dxa"/>
                  <w:shd w:val="clear" w:color="auto" w:fill="FDE9D9" w:themeFill="accent6" w:themeFillTint="33"/>
                  <w:vAlign w:val="center"/>
                </w:tcPr>
                <w:p w14:paraId="2D583C8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ascii="微软雅黑" w:hAnsi="微软雅黑" w:eastAsia="微软雅黑" w:cs="Arial"/>
                      <w:color w:val="000000"/>
                      <w:szCs w:val="21"/>
                      <w:lang w:val="en-US" w:eastAsia="zh-CN"/>
                    </w:rPr>
                    <w:t>有</w:t>
                  </w:r>
                  <w:r>
                    <w:rPr>
                      <w:rFonts w:hint="eastAsia" w:ascii="微软雅黑" w:hAnsi="微软雅黑" w:eastAsia="微软雅黑" w:cs="Arial"/>
                      <w:color w:val="000000"/>
                      <w:szCs w:val="21"/>
                    </w:rPr>
                    <w:t>成人结果报告纸</w:t>
                  </w:r>
                  <w:r>
                    <w:rPr>
                      <w:rFonts w:ascii="微软雅黑" w:hAnsi="微软雅黑" w:eastAsia="微软雅黑" w:cs="Arial"/>
                      <w:color w:val="000000"/>
                      <w:szCs w:val="21"/>
                    </w:rPr>
                    <w:t xml:space="preserve">, </w:t>
                  </w:r>
                  <w:r>
                    <w:rPr>
                      <w:rFonts w:hint="eastAsia" w:ascii="微软雅黑" w:hAnsi="微软雅黑" w:eastAsia="微软雅黑" w:cs="Arial"/>
                      <w:color w:val="000000"/>
                      <w:szCs w:val="21"/>
                    </w:rPr>
                    <w:t>儿童专用报告纸，身体水分结果报告纸，体型报告纸</w:t>
                  </w:r>
                  <w:r>
                    <w:rPr>
                      <w:rFonts w:hint="eastAsia" w:ascii="微软雅黑" w:hAnsi="微软雅黑" w:eastAsia="微软雅黑" w:cs="微软雅黑"/>
                      <w:color w:val="000000"/>
                      <w:szCs w:val="21"/>
                    </w:rPr>
                    <w:t>（</w:t>
                  </w:r>
                  <w:r>
                    <w:rPr>
                      <w:rFonts w:hint="eastAsia" w:ascii="微软雅黑" w:hAnsi="微软雅黑" w:eastAsia="微软雅黑" w:cs="微软雅黑"/>
                      <w:color w:val="000000"/>
                      <w:szCs w:val="21"/>
                      <w:lang w:val="en-US" w:eastAsia="zh-CN"/>
                    </w:rPr>
                    <w:t>提供相关真实的佐证材料</w:t>
                  </w:r>
                  <w:r>
                    <w:rPr>
                      <w:rFonts w:hint="eastAsia" w:ascii="微软雅黑" w:hAnsi="微软雅黑" w:eastAsia="微软雅黑" w:cs="微软雅黑"/>
                      <w:color w:val="000000"/>
                      <w:szCs w:val="21"/>
                    </w:rPr>
                    <w:t>）</w:t>
                  </w:r>
                </w:p>
              </w:tc>
            </w:tr>
            <w:tr w14:paraId="46B3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347296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lang w:val="en-US" w:eastAsia="zh-CN"/>
                    </w:rPr>
                  </w:pPr>
                  <w:r>
                    <w:rPr>
                      <w:rFonts w:hint="eastAsia" w:eastAsia="宋体" w:cs="Times New Roman" w:asciiTheme="minorEastAsia" w:hAnsiTheme="minorEastAsia"/>
                      <w:b w:val="0"/>
                      <w:bCs/>
                      <w:kern w:val="0"/>
                      <w:sz w:val="20"/>
                    </w:rPr>
                    <w:t>▲</w:t>
                  </w:r>
                  <w:r>
                    <w:rPr>
                      <w:rFonts w:hint="eastAsia" w:ascii="宋体" w:hAnsi="宋体" w:eastAsia="宋体" w:cs="宋体"/>
                      <w:b w:val="0"/>
                      <w:bCs/>
                      <w:kern w:val="0"/>
                      <w:sz w:val="24"/>
                      <w:szCs w:val="24"/>
                      <w:lang w:val="en-US" w:eastAsia="zh-CN"/>
                    </w:rPr>
                    <w:t>7</w:t>
                  </w:r>
                </w:p>
              </w:tc>
              <w:tc>
                <w:tcPr>
                  <w:tcW w:w="6350" w:type="dxa"/>
                  <w:shd w:val="clear" w:color="auto" w:fill="FDE9D9" w:themeFill="accent6" w:themeFillTint="33"/>
                  <w:vAlign w:val="center"/>
                </w:tcPr>
                <w:p w14:paraId="2B16047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ascii="微软雅黑" w:hAnsi="微软雅黑" w:eastAsia="微软雅黑" w:cs="Arial"/>
                      <w:color w:val="000000"/>
                      <w:szCs w:val="21"/>
                    </w:rPr>
                    <w:t>测试时间：</w:t>
                  </w:r>
                  <w:r>
                    <w:rPr>
                      <w:rFonts w:hint="eastAsia" w:ascii="宋体" w:hAnsi="宋体" w:cs="宋体"/>
                      <w:color w:val="000000"/>
                      <w:szCs w:val="21"/>
                    </w:rPr>
                    <w:t>≤</w:t>
                  </w:r>
                  <w:r>
                    <w:rPr>
                      <w:rFonts w:hint="eastAsia" w:ascii="微软雅黑" w:hAnsi="微软雅黑" w:eastAsia="微软雅黑" w:cs="Arial"/>
                      <w:color w:val="000000"/>
                      <w:szCs w:val="21"/>
                    </w:rPr>
                    <w:t>50秒</w:t>
                  </w:r>
                </w:p>
              </w:tc>
            </w:tr>
            <w:tr w14:paraId="32F0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AE6E4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rPr>
                    <w:t>▲</w:t>
                  </w:r>
                  <w:r>
                    <w:rPr>
                      <w:rFonts w:hint="eastAsia" w:ascii="宋体" w:hAnsi="宋体" w:eastAsia="宋体" w:cs="宋体"/>
                      <w:b w:val="0"/>
                      <w:bCs/>
                      <w:kern w:val="0"/>
                      <w:sz w:val="24"/>
                      <w:szCs w:val="24"/>
                      <w:lang w:val="en-US" w:eastAsia="zh-CN"/>
                    </w:rPr>
                    <w:t>8</w:t>
                  </w:r>
                </w:p>
              </w:tc>
              <w:tc>
                <w:tcPr>
                  <w:tcW w:w="6350" w:type="dxa"/>
                  <w:shd w:val="clear" w:color="auto" w:fill="FDE9D9" w:themeFill="accent6" w:themeFillTint="33"/>
                  <w:vAlign w:val="center"/>
                </w:tcPr>
                <w:p w14:paraId="5C3A827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sz w:val="24"/>
                      <w:szCs w:val="24"/>
                      <w:lang w:val="en-US"/>
                    </w:rPr>
                  </w:pPr>
                  <w:r>
                    <w:rPr>
                      <w:rFonts w:hint="eastAsia" w:ascii="微软雅黑" w:hAnsi="微软雅黑" w:eastAsia="微软雅黑" w:cs="Arial"/>
                      <w:color w:val="000000"/>
                      <w:szCs w:val="21"/>
                      <w:lang w:val="en-US" w:eastAsia="zh-CN"/>
                    </w:rPr>
                    <w:t>体检报告与医院系统对接，承担院内信息系统对接费用。</w:t>
                  </w:r>
                </w:p>
              </w:tc>
            </w:tr>
          </w:tbl>
          <w:p w14:paraId="3865EDC7">
            <w:pPr>
              <w:spacing w:line="360" w:lineRule="auto"/>
            </w:pPr>
          </w:p>
        </w:tc>
      </w:tr>
      <w:tr w14:paraId="2115E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51494D46"/>
        </w:tc>
        <w:tc>
          <w:tcPr>
            <w:tcW w:w="486" w:type="dxa"/>
          </w:tcPr>
          <w:p w14:paraId="1B370DEA">
            <w:r>
              <w:rPr>
                <w:rFonts w:hint="eastAsia"/>
              </w:rPr>
              <w:t>2</w:t>
            </w:r>
          </w:p>
        </w:tc>
        <w:tc>
          <w:tcPr>
            <w:tcW w:w="7500" w:type="dxa"/>
          </w:tcPr>
          <w:p w14:paraId="7ECCBCBD">
            <w:pPr>
              <w:spacing w:line="360" w:lineRule="auto"/>
              <w:jc w:val="left"/>
            </w:pPr>
            <w:r>
              <w:rPr>
                <w:rFonts w:hint="eastAsia"/>
              </w:rPr>
              <w:t>货物要求：</w:t>
            </w:r>
          </w:p>
          <w:p w14:paraId="0FBEC2D0">
            <w:pPr>
              <w:spacing w:line="360" w:lineRule="auto"/>
              <w:jc w:val="left"/>
              <w:rPr>
                <w:rFonts w:asciiTheme="minorEastAsia" w:hAnsiTheme="minorEastAsia"/>
              </w:rPr>
            </w:pPr>
            <w:r>
              <w:rPr>
                <w:rFonts w:hint="eastAsia" w:asciiTheme="minorEastAsia" w:hAnsiTheme="minorEastAsia"/>
              </w:rPr>
              <w:t>1、如投标人所投的产品不是投标人自己制造的，投标人应得到制造商同意其在本次投标中提供该货物的</w:t>
            </w:r>
            <w:r>
              <w:rPr>
                <w:rFonts w:hint="eastAsia" w:asciiTheme="minorEastAsia" w:hAnsiTheme="minorEastAsia"/>
                <w:b/>
              </w:rPr>
              <w:t>正式授权书（逐级授权都需齐全）</w:t>
            </w:r>
            <w:r>
              <w:rPr>
                <w:rFonts w:hint="eastAsia" w:asciiTheme="minorEastAsia" w:hAnsiTheme="minorEastAsia"/>
              </w:rPr>
              <w:t>。</w:t>
            </w:r>
          </w:p>
          <w:p w14:paraId="397FD764">
            <w:pPr>
              <w:spacing w:line="360" w:lineRule="auto"/>
              <w:jc w:val="left"/>
              <w:rPr>
                <w:rFonts w:asciiTheme="minorEastAsia" w:hAnsiTheme="minorEastAsia"/>
              </w:rPr>
            </w:pPr>
            <w:r>
              <w:rPr>
                <w:rFonts w:hint="eastAsia" w:asciiTheme="minorEastAsia" w:hAnsiTheme="minorEastAsia"/>
              </w:rPr>
              <w:t>2、投标人须提供所投产品</w:t>
            </w:r>
            <w:r>
              <w:rPr>
                <w:rFonts w:hint="eastAsia" w:asciiTheme="minorEastAsia" w:hAnsiTheme="minorEastAsia"/>
                <w:b/>
              </w:rPr>
              <w:t>完整的配置清单</w:t>
            </w:r>
            <w:r>
              <w:rPr>
                <w:rFonts w:hint="eastAsia" w:asciiTheme="minorEastAsia" w:hAnsiTheme="minorEastAsia"/>
              </w:rPr>
              <w:t>。</w:t>
            </w:r>
          </w:p>
          <w:p w14:paraId="7C36DEBC">
            <w:pPr>
              <w:spacing w:line="360" w:lineRule="auto"/>
              <w:jc w:val="left"/>
              <w:rPr>
                <w:rFonts w:asciiTheme="minorEastAsia" w:hAnsiTheme="minorEastAsia"/>
              </w:rPr>
            </w:pPr>
            <w:r>
              <w:rPr>
                <w:rFonts w:hint="eastAsia" w:asciiTheme="minorEastAsia" w:hAnsiTheme="minorEastAsia"/>
              </w:rPr>
              <w:t>3、如投标人所投产品</w:t>
            </w:r>
            <w:r>
              <w:rPr>
                <w:rFonts w:hint="eastAsia" w:asciiTheme="minorEastAsia" w:hAnsiTheme="minorEastAsia"/>
                <w:b/>
              </w:rPr>
              <w:t>含有配套耗材，须提供配套耗材的报价明细</w:t>
            </w:r>
            <w:r>
              <w:rPr>
                <w:rFonts w:hint="eastAsia" w:asciiTheme="minorEastAsia" w:hAnsiTheme="minorEastAsia"/>
              </w:rPr>
              <w:t>，该报价将作为后期采购的参考价格，但不包括在本次投标报价中；如投标人所投产品不含有配套耗材，提供不需要配套耗材的声明函。</w:t>
            </w:r>
          </w:p>
          <w:p w14:paraId="0AFC3AC3">
            <w:pPr>
              <w:spacing w:line="360" w:lineRule="auto"/>
              <w:jc w:val="left"/>
              <w:rPr>
                <w:rFonts w:asciiTheme="minorEastAsia" w:hAnsiTheme="minorEastAsia"/>
              </w:rPr>
            </w:pPr>
            <w:r>
              <w:rPr>
                <w:rFonts w:hint="eastAsia" w:asciiTheme="minorEastAsia" w:hAnsiTheme="minorEastAsia"/>
                <w:b/>
              </w:rPr>
              <w:t>4、所投产品具有有效的中华人民共和国医疗器械注册证（注册证型号与投标型号一致）。（所投产品必须证件齐全，且在有效期内。若本条不满足，则投标无效）</w:t>
            </w:r>
          </w:p>
          <w:p w14:paraId="01C797ED">
            <w:pPr>
              <w:spacing w:line="360" w:lineRule="auto"/>
              <w:jc w:val="left"/>
              <w:rPr>
                <w:rFonts w:asciiTheme="minorEastAsia" w:hAnsiTheme="minorEastAsia"/>
              </w:rPr>
            </w:pPr>
            <w:r>
              <w:rPr>
                <w:rFonts w:hint="eastAsia" w:asciiTheme="minorEastAsia" w:hAnsiTheme="minorEastAsia"/>
              </w:rPr>
              <w:t>5、本项目所述产品及技术要求，应视为保证项目投入运行所需的最低要求，并无指定。投标人可选用技术参数相当或更优的产品进行响应，也可以对产品配套的细节部分加以明确和优化。</w:t>
            </w:r>
          </w:p>
        </w:tc>
      </w:tr>
      <w:tr w14:paraId="1A7FB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0" w:hRule="atLeast"/>
        </w:trPr>
        <w:tc>
          <w:tcPr>
            <w:tcW w:w="1104" w:type="dxa"/>
            <w:gridSpan w:val="2"/>
          </w:tcPr>
          <w:p w14:paraId="45603DE1">
            <w:pPr>
              <w:ind w:firstLine="401"/>
              <w:jc w:val="left"/>
            </w:pPr>
            <w:r>
              <w:t>说明</w:t>
            </w:r>
          </w:p>
        </w:tc>
        <w:tc>
          <w:tcPr>
            <w:tcW w:w="7500" w:type="dxa"/>
            <w:tcBorders>
              <w:top w:val="single" w:color="auto" w:sz="0" w:space="0"/>
              <w:left w:val="single" w:color="auto" w:sz="0" w:space="0"/>
              <w:bottom w:val="single" w:color="auto" w:sz="0" w:space="0"/>
              <w:right w:val="single" w:color="auto" w:sz="0" w:space="0"/>
            </w:tcBorders>
          </w:tcPr>
          <w:p w14:paraId="0D3B25DC">
            <w:pPr>
              <w:spacing w:line="360" w:lineRule="auto"/>
              <w:rPr>
                <w:rFonts w:ascii="宋体" w:hAnsi="宋体"/>
                <w:szCs w:val="21"/>
              </w:rPr>
            </w:pPr>
            <w:r>
              <w:t>打“</w:t>
            </w:r>
            <w:r>
              <w:rPr>
                <w:rFonts w:hint="eastAsia" w:ascii="宋体" w:hAnsi="宋体" w:eastAsia="宋体" w:cs="宋体"/>
              </w:rPr>
              <w:t>★</w:t>
            </w:r>
            <w:r>
              <w:rPr>
                <w:rFonts w:ascii="Calibri" w:hAnsi="Calibri" w:cs="Calibri"/>
              </w:rPr>
              <w:t>”</w:t>
            </w:r>
            <w:r>
              <w:t>号条款为实质性条款，若有任何一条不满足则导致投标无效。</w:t>
            </w:r>
            <w:r>
              <w:br w:type="textWrapping"/>
            </w:r>
            <w:r>
              <w:t>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p>
        </w:tc>
      </w:tr>
    </w:tbl>
    <w:p w14:paraId="7E0530D9">
      <w:pPr>
        <w:pStyle w:val="7"/>
        <w:ind w:left="0" w:leftChars="0" w:firstLine="0" w:firstLineChars="0"/>
      </w:pPr>
    </w:p>
    <w:p w14:paraId="683D1366">
      <w:pPr>
        <w:spacing w:line="360" w:lineRule="auto"/>
      </w:pPr>
      <w:r>
        <w:rPr>
          <w:rFonts w:hint="eastAsia"/>
          <w:b/>
          <w:sz w:val="24"/>
        </w:rPr>
        <w:t>2</w:t>
      </w:r>
      <w:r>
        <w:rPr>
          <w:b/>
          <w:sz w:val="24"/>
        </w:rPr>
        <w:t>.主要商务要求</w:t>
      </w:r>
    </w:p>
    <w:tbl>
      <w:tblPr>
        <w:tblStyle w:val="8"/>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9"/>
        <w:gridCol w:w="6663"/>
      </w:tblGrid>
      <w:tr w14:paraId="2FE4F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35CDC52A">
            <w:pPr>
              <w:spacing w:line="360" w:lineRule="auto"/>
            </w:pPr>
            <w:r>
              <w:rPr>
                <w:rFonts w:hint="eastAsia"/>
              </w:rPr>
              <w:t>① 供货</w:t>
            </w:r>
            <w:r>
              <w:t>时间</w:t>
            </w:r>
          </w:p>
        </w:tc>
        <w:tc>
          <w:tcPr>
            <w:tcW w:w="6663" w:type="dxa"/>
          </w:tcPr>
          <w:p w14:paraId="25A15D09">
            <w:pPr>
              <w:spacing w:line="360" w:lineRule="auto"/>
            </w:pPr>
            <w:r>
              <w:rPr>
                <w:rFonts w:hint="eastAsia"/>
              </w:rPr>
              <w:t>合同签订生效后30个日历天内，完成到货安装调试并提交采购人试用。</w:t>
            </w:r>
          </w:p>
        </w:tc>
      </w:tr>
      <w:tr w14:paraId="6102A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70D43576">
            <w:pPr>
              <w:spacing w:line="360" w:lineRule="auto"/>
            </w:pPr>
            <w:r>
              <w:rPr>
                <w:rFonts w:hint="eastAsia"/>
              </w:rPr>
              <w:t>② 供货</w:t>
            </w:r>
            <w:r>
              <w:t>地点</w:t>
            </w:r>
          </w:p>
        </w:tc>
        <w:tc>
          <w:tcPr>
            <w:tcW w:w="6663" w:type="dxa"/>
          </w:tcPr>
          <w:p w14:paraId="215E06A3">
            <w:pPr>
              <w:spacing w:line="360" w:lineRule="auto"/>
            </w:pPr>
            <w:r>
              <w:rPr>
                <w:rFonts w:hint="eastAsia"/>
                <w:color w:val="000000" w:themeColor="text1"/>
                <w14:textFill>
                  <w14:solidFill>
                    <w14:schemeClr w14:val="tx1"/>
                  </w14:solidFill>
                </w14:textFill>
              </w:rPr>
              <w:t>采购人</w:t>
            </w:r>
            <w:r>
              <w:t>指定地点</w:t>
            </w:r>
          </w:p>
        </w:tc>
      </w:tr>
      <w:tr w14:paraId="100AB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09" w:type="dxa"/>
          </w:tcPr>
          <w:p w14:paraId="39D853C1">
            <w:pPr>
              <w:spacing w:line="360" w:lineRule="auto"/>
            </w:pPr>
            <w:r>
              <w:rPr>
                <w:rFonts w:hint="eastAsia"/>
              </w:rPr>
              <w:t xml:space="preserve">③ </w:t>
            </w:r>
            <w:r>
              <w:t>付款方式</w:t>
            </w:r>
          </w:p>
        </w:tc>
        <w:tc>
          <w:tcPr>
            <w:tcW w:w="6663" w:type="dxa"/>
          </w:tcPr>
          <w:p w14:paraId="0C70E4BC">
            <w:pPr>
              <w:spacing w:line="360" w:lineRule="auto"/>
            </w:pPr>
            <w:r>
              <w:rPr>
                <w:rFonts w:hint="eastAsia"/>
              </w:rPr>
              <w:t>（一）10万元以内分两期付款，合同签订生效后,乙方将设备运到指定地点，安装调试完毕并验收合格、入库之后的3个月后，将支付合同总金额的80%；合同签订生效十八个月后将支付余下款项（合同总金额的20%）。</w:t>
            </w:r>
          </w:p>
          <w:p w14:paraId="7B9F62A1">
            <w:pPr>
              <w:spacing w:line="360" w:lineRule="auto"/>
            </w:pPr>
            <w:r>
              <w:rPr>
                <w:rFonts w:hint="eastAsia"/>
              </w:rPr>
              <w:t>（二）10万元以上设备分三期支付货款，合同签订生效后的30个工作日，支付合同总金额的30%；安装调试完毕并验收合格、入库后的30个工作日，将支付合同总金额的60%；合同签订生效十八个月后，确认无其它扣款事项后30个工作日，将支付余下款项（合同总金额的10%）。</w:t>
            </w:r>
          </w:p>
        </w:tc>
      </w:tr>
      <w:tr w14:paraId="410CF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17157246">
            <w:pPr>
              <w:spacing w:line="360" w:lineRule="auto"/>
            </w:pPr>
            <w:r>
              <w:rPr>
                <w:rFonts w:hint="eastAsia"/>
              </w:rPr>
              <w:t xml:space="preserve">④ </w:t>
            </w:r>
            <w:r>
              <w:t>验收要求</w:t>
            </w:r>
          </w:p>
        </w:tc>
        <w:tc>
          <w:tcPr>
            <w:tcW w:w="6663" w:type="dxa"/>
          </w:tcPr>
          <w:p w14:paraId="28AF3CFC">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检测费由中标人承担)。（三）验收标准：1、中标人提供的设备必须是全新的，出厂日期不超过壹年，且交付时原厂包装完好，无任何质量缺陷；设备中所装的软件必须是最新的版本。2、中标人随设备提供设备的中文说明书、中文使用手册及合同第二条（二）中列明的相关法律文件资料。3、安装调试完毕后，所有设备必须能保证能正常运行并满足采购人购买时所声明的使用需求。4、质量验收不限于以上标准，其中未包括的内容，执行现行的适用于该设备的国家和行业最高标准。</w:t>
            </w:r>
          </w:p>
        </w:tc>
      </w:tr>
      <w:tr w14:paraId="45F87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6723CBEF">
            <w:pPr>
              <w:spacing w:line="360" w:lineRule="auto"/>
            </w:pPr>
            <w:r>
              <w:rPr>
                <w:rFonts w:hint="eastAsia"/>
              </w:rPr>
              <w:t xml:space="preserve">⑤ </w:t>
            </w:r>
            <w:r>
              <w:t>其他</w:t>
            </w:r>
            <w:r>
              <w:rPr>
                <w:rFonts w:hint="eastAsia"/>
              </w:rPr>
              <w:t>要求</w:t>
            </w:r>
          </w:p>
        </w:tc>
        <w:tc>
          <w:tcPr>
            <w:tcW w:w="6663" w:type="dxa"/>
          </w:tcPr>
          <w:p w14:paraId="628FDFDE">
            <w:pPr>
              <w:spacing w:line="360" w:lineRule="auto"/>
              <w:jc w:val="left"/>
              <w:rPr>
                <w:bCs/>
                <w:szCs w:val="21"/>
              </w:rPr>
            </w:pPr>
            <w:r>
              <w:rPr>
                <w:rFonts w:hint="eastAsia"/>
                <w:bCs/>
                <w:szCs w:val="21"/>
              </w:rPr>
              <w:t>1、产品要求：投标提供的设备为原制造商制造的全新产品，无污染，无侵权行为、无划损、无任何缺陷隐患，在中国境内可依常规安全合法使用。</w:t>
            </w:r>
          </w:p>
          <w:p w14:paraId="55D46251">
            <w:pPr>
              <w:spacing w:line="360" w:lineRule="auto"/>
              <w:jc w:val="left"/>
              <w:rPr>
                <w:bCs/>
                <w:szCs w:val="21"/>
              </w:rPr>
            </w:pPr>
            <w:r>
              <w:rPr>
                <w:rFonts w:hint="eastAsia"/>
                <w:bCs/>
                <w:szCs w:val="21"/>
              </w:rPr>
              <w:t>2、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14:paraId="5BF35770">
            <w:pPr>
              <w:spacing w:line="360" w:lineRule="auto"/>
              <w:jc w:val="left"/>
              <w:rPr>
                <w:bCs/>
                <w:szCs w:val="21"/>
              </w:rPr>
            </w:pPr>
            <w:r>
              <w:rPr>
                <w:rFonts w:hint="eastAsia"/>
                <w:bCs/>
                <w:szCs w:val="21"/>
              </w:rPr>
              <w:t>3、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14:paraId="55596BF6">
            <w:pPr>
              <w:spacing w:line="360" w:lineRule="auto"/>
              <w:jc w:val="left"/>
              <w:rPr>
                <w:bCs/>
                <w:szCs w:val="21"/>
              </w:rPr>
            </w:pPr>
            <w:r>
              <w:rPr>
                <w:rFonts w:hint="eastAsia"/>
                <w:bCs/>
                <w:szCs w:val="21"/>
              </w:rPr>
              <w:t>4、售后服务：（1）整机(</w:t>
            </w:r>
            <w:r>
              <w:rPr>
                <w:rFonts w:hint="eastAsia"/>
                <w:b/>
                <w:bCs/>
                <w:szCs w:val="21"/>
              </w:rPr>
              <w:t>含所有零配件、易损易耗品</w:t>
            </w:r>
            <w:r>
              <w:rPr>
                <w:rFonts w:hint="eastAsia"/>
                <w:bCs/>
                <w:szCs w:val="21"/>
              </w:rPr>
              <w:t>)原厂保修期</w:t>
            </w:r>
            <w:r>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14:paraId="0A151102">
            <w:pPr>
              <w:spacing w:line="360" w:lineRule="auto"/>
              <w:jc w:val="left"/>
              <w:rPr>
                <w:bCs/>
                <w:szCs w:val="21"/>
              </w:rPr>
            </w:pPr>
            <w:r>
              <w:rPr>
                <w:rFonts w:hint="eastAsia"/>
                <w:bCs/>
                <w:szCs w:val="21"/>
              </w:rPr>
              <w:t xml:space="preserve">（2）①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②保修期内至少每季度1次按生产商保养标准做1次保养（该费用已包含在本合同总价中），并出具报告交采购人设备科留存。③保修期后，供应商对设备实行终身上门维修，终身上门保养（≥1次/年），并提供维修保养报告（该费用已包含在合同总价中）。供应商未履行前述维修和保养服务的，采购人有权不支付尾款，尾款金额不足以赔偿采购人损失的，采购人有权要求供应商承担继续赔偿责任。    </w:t>
            </w:r>
          </w:p>
          <w:p w14:paraId="1CDB4E87">
            <w:pPr>
              <w:spacing w:line="360" w:lineRule="auto"/>
              <w:jc w:val="left"/>
              <w:rPr>
                <w:bCs/>
                <w:szCs w:val="21"/>
              </w:rPr>
            </w:pPr>
            <w:r>
              <w:rPr>
                <w:rFonts w:hint="eastAsia"/>
                <w:bCs/>
                <w:szCs w:val="21"/>
              </w:rPr>
              <w:t>（3）承担设备首次计量校准费用。</w:t>
            </w:r>
          </w:p>
          <w:p w14:paraId="11685891">
            <w:pPr>
              <w:spacing w:line="360" w:lineRule="auto"/>
              <w:jc w:val="left"/>
              <w:rPr>
                <w:bCs/>
                <w:szCs w:val="21"/>
              </w:rPr>
            </w:pPr>
            <w:r>
              <w:rPr>
                <w:rFonts w:hint="eastAsia"/>
                <w:bCs/>
                <w:szCs w:val="21"/>
              </w:rPr>
              <w:t>5、培训要求：中标人负责培训采购人有关技术人员，直至掌握操作技术为止。在仪器正常使用期间，中标人须负责该设备的技术咨询。</w:t>
            </w:r>
          </w:p>
          <w:p w14:paraId="6262E109">
            <w:pPr>
              <w:spacing w:line="360" w:lineRule="auto"/>
              <w:jc w:val="left"/>
              <w:rPr>
                <w:bCs/>
                <w:szCs w:val="21"/>
              </w:rPr>
            </w:pPr>
            <w:r>
              <w:rPr>
                <w:rFonts w:hint="eastAsia"/>
                <w:bCs/>
                <w:szCs w:val="21"/>
              </w:rPr>
              <w:t>6、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14:paraId="6A8B43F8">
      <w:pPr>
        <w:spacing w:line="360" w:lineRule="auto"/>
      </w:pPr>
    </w:p>
    <w:sectPr>
      <w:pgSz w:w="11906" w:h="16838"/>
      <w:pgMar w:top="1440"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22EFA"/>
    <w:rsid w:val="00043EF5"/>
    <w:rsid w:val="00070DD7"/>
    <w:rsid w:val="00074123"/>
    <w:rsid w:val="0008595D"/>
    <w:rsid w:val="000A2591"/>
    <w:rsid w:val="000C2191"/>
    <w:rsid w:val="000C2559"/>
    <w:rsid w:val="000C7E78"/>
    <w:rsid w:val="000F2543"/>
    <w:rsid w:val="000F2734"/>
    <w:rsid w:val="000F75BA"/>
    <w:rsid w:val="00100DBA"/>
    <w:rsid w:val="00111C33"/>
    <w:rsid w:val="00140B25"/>
    <w:rsid w:val="001A350B"/>
    <w:rsid w:val="001B20EF"/>
    <w:rsid w:val="001C10CE"/>
    <w:rsid w:val="001D52B0"/>
    <w:rsid w:val="001D5C7E"/>
    <w:rsid w:val="001F4128"/>
    <w:rsid w:val="00232E4B"/>
    <w:rsid w:val="002404B3"/>
    <w:rsid w:val="00260911"/>
    <w:rsid w:val="00275958"/>
    <w:rsid w:val="002C2158"/>
    <w:rsid w:val="003031D2"/>
    <w:rsid w:val="00311E7F"/>
    <w:rsid w:val="003536ED"/>
    <w:rsid w:val="00353A1C"/>
    <w:rsid w:val="00355391"/>
    <w:rsid w:val="00360569"/>
    <w:rsid w:val="0036203F"/>
    <w:rsid w:val="00392AD1"/>
    <w:rsid w:val="003A1C57"/>
    <w:rsid w:val="003B5BBD"/>
    <w:rsid w:val="003C700F"/>
    <w:rsid w:val="003E33C7"/>
    <w:rsid w:val="003F3D39"/>
    <w:rsid w:val="004271D6"/>
    <w:rsid w:val="00430231"/>
    <w:rsid w:val="0045573B"/>
    <w:rsid w:val="00455D3D"/>
    <w:rsid w:val="00473900"/>
    <w:rsid w:val="004901B0"/>
    <w:rsid w:val="004D533E"/>
    <w:rsid w:val="004E1053"/>
    <w:rsid w:val="004F127F"/>
    <w:rsid w:val="004F3F45"/>
    <w:rsid w:val="00502107"/>
    <w:rsid w:val="005024DE"/>
    <w:rsid w:val="00510DE3"/>
    <w:rsid w:val="00515727"/>
    <w:rsid w:val="00543040"/>
    <w:rsid w:val="005441B4"/>
    <w:rsid w:val="005803D5"/>
    <w:rsid w:val="00595D7D"/>
    <w:rsid w:val="005B6097"/>
    <w:rsid w:val="005E2E53"/>
    <w:rsid w:val="005E7652"/>
    <w:rsid w:val="00647249"/>
    <w:rsid w:val="00657FAD"/>
    <w:rsid w:val="0067283E"/>
    <w:rsid w:val="006A6624"/>
    <w:rsid w:val="006C3B09"/>
    <w:rsid w:val="006D0AA5"/>
    <w:rsid w:val="00723790"/>
    <w:rsid w:val="007449A7"/>
    <w:rsid w:val="007756FD"/>
    <w:rsid w:val="007A06CF"/>
    <w:rsid w:val="007B79E4"/>
    <w:rsid w:val="007C7D9B"/>
    <w:rsid w:val="007D7C66"/>
    <w:rsid w:val="007E2963"/>
    <w:rsid w:val="00811633"/>
    <w:rsid w:val="00812DF4"/>
    <w:rsid w:val="00814C7F"/>
    <w:rsid w:val="00824266"/>
    <w:rsid w:val="008301C7"/>
    <w:rsid w:val="008467A8"/>
    <w:rsid w:val="00891A09"/>
    <w:rsid w:val="008B7CE7"/>
    <w:rsid w:val="008C01AA"/>
    <w:rsid w:val="008C2B2E"/>
    <w:rsid w:val="008F0B96"/>
    <w:rsid w:val="0090666E"/>
    <w:rsid w:val="00915B76"/>
    <w:rsid w:val="009536CE"/>
    <w:rsid w:val="00965EA1"/>
    <w:rsid w:val="00971E56"/>
    <w:rsid w:val="0098133A"/>
    <w:rsid w:val="009967B2"/>
    <w:rsid w:val="009A5096"/>
    <w:rsid w:val="009B1881"/>
    <w:rsid w:val="009C06ED"/>
    <w:rsid w:val="00A03DFC"/>
    <w:rsid w:val="00A2387F"/>
    <w:rsid w:val="00A41983"/>
    <w:rsid w:val="00AB5A5A"/>
    <w:rsid w:val="00AC2AAE"/>
    <w:rsid w:val="00AD0C59"/>
    <w:rsid w:val="00AD31C6"/>
    <w:rsid w:val="00AE18BB"/>
    <w:rsid w:val="00AF0FE7"/>
    <w:rsid w:val="00B0212A"/>
    <w:rsid w:val="00B15BC2"/>
    <w:rsid w:val="00B51D64"/>
    <w:rsid w:val="00B54242"/>
    <w:rsid w:val="00B631E1"/>
    <w:rsid w:val="00B7011C"/>
    <w:rsid w:val="00B9368D"/>
    <w:rsid w:val="00BA2AD8"/>
    <w:rsid w:val="00BC72F0"/>
    <w:rsid w:val="00BD4999"/>
    <w:rsid w:val="00BD6717"/>
    <w:rsid w:val="00C30EC5"/>
    <w:rsid w:val="00C74D09"/>
    <w:rsid w:val="00C913DB"/>
    <w:rsid w:val="00C97099"/>
    <w:rsid w:val="00CC23A4"/>
    <w:rsid w:val="00CC3F01"/>
    <w:rsid w:val="00CE35EB"/>
    <w:rsid w:val="00CF72DC"/>
    <w:rsid w:val="00D00FE5"/>
    <w:rsid w:val="00D049EF"/>
    <w:rsid w:val="00D1694B"/>
    <w:rsid w:val="00D2439D"/>
    <w:rsid w:val="00D32C33"/>
    <w:rsid w:val="00D548CE"/>
    <w:rsid w:val="00D54911"/>
    <w:rsid w:val="00D55C95"/>
    <w:rsid w:val="00D727CB"/>
    <w:rsid w:val="00D74460"/>
    <w:rsid w:val="00D8647E"/>
    <w:rsid w:val="00D8671A"/>
    <w:rsid w:val="00DB7160"/>
    <w:rsid w:val="00DE3C72"/>
    <w:rsid w:val="00E06D6A"/>
    <w:rsid w:val="00E160E1"/>
    <w:rsid w:val="00E36425"/>
    <w:rsid w:val="00E63EF0"/>
    <w:rsid w:val="00E749A3"/>
    <w:rsid w:val="00E76FC9"/>
    <w:rsid w:val="00E87C42"/>
    <w:rsid w:val="00EC4A4C"/>
    <w:rsid w:val="00F0111E"/>
    <w:rsid w:val="00F06225"/>
    <w:rsid w:val="00F3475A"/>
    <w:rsid w:val="00F35112"/>
    <w:rsid w:val="00F7023F"/>
    <w:rsid w:val="00F72C24"/>
    <w:rsid w:val="00F86435"/>
    <w:rsid w:val="00F868EC"/>
    <w:rsid w:val="00FB74F6"/>
    <w:rsid w:val="00FC45BC"/>
    <w:rsid w:val="00FC6EFF"/>
    <w:rsid w:val="00FD5CEA"/>
    <w:rsid w:val="00FE169A"/>
    <w:rsid w:val="00FF3AE3"/>
    <w:rsid w:val="07FF1C4C"/>
    <w:rsid w:val="0F450DC6"/>
    <w:rsid w:val="15FA653F"/>
    <w:rsid w:val="393262A1"/>
    <w:rsid w:val="4FCA0B10"/>
    <w:rsid w:val="60464249"/>
    <w:rsid w:val="60D56303"/>
    <w:rsid w:val="67D31034"/>
    <w:rsid w:val="755D1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semiHidden/>
    <w:unhideWhenUsed/>
    <w:qFormat/>
    <w:uiPriority w:val="99"/>
    <w:pPr>
      <w:spacing w:after="120"/>
      <w:ind w:left="420" w:leftChars="200"/>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2"/>
    <w:link w:val="15"/>
    <w:unhideWhenUsed/>
    <w:qFormat/>
    <w:uiPriority w:val="99"/>
    <w:pPr>
      <w:ind w:firstLine="420" w:firstLineChars="200"/>
    </w:pPr>
  </w:style>
  <w:style w:type="table" w:styleId="9">
    <w:name w:val="Table Grid"/>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正文文本缩进 Char"/>
    <w:basedOn w:val="10"/>
    <w:link w:val="2"/>
    <w:semiHidden/>
    <w:qFormat/>
    <w:uiPriority w:val="99"/>
    <w:rPr>
      <w:szCs w:val="24"/>
    </w:rPr>
  </w:style>
  <w:style w:type="character" w:customStyle="1" w:styleId="15">
    <w:name w:val="正文首行缩进 2 Char"/>
    <w:basedOn w:val="14"/>
    <w:link w:val="7"/>
    <w:qFormat/>
    <w:uiPriority w:val="99"/>
    <w:rPr>
      <w:szCs w:val="24"/>
    </w:rPr>
  </w:style>
  <w:style w:type="character" w:customStyle="1" w:styleId="16">
    <w:name w:val="批注框文本 Char"/>
    <w:basedOn w:val="10"/>
    <w:link w:val="3"/>
    <w:semiHidden/>
    <w:qFormat/>
    <w:uiPriority w:val="99"/>
    <w:rPr>
      <w:sz w:val="18"/>
      <w:szCs w:val="18"/>
    </w:rPr>
  </w:style>
  <w:style w:type="paragraph" w:styleId="17">
    <w:name w:val="List Paragraph"/>
    <w:basedOn w:val="1"/>
    <w:qFormat/>
    <w:uiPriority w:val="1"/>
    <w:pPr>
      <w:spacing w:before="125"/>
      <w:ind w:left="1255" w:hanging="18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2782</Words>
  <Characters>2859</Characters>
  <Lines>20</Lines>
  <Paragraphs>5</Paragraphs>
  <TotalTime>0</TotalTime>
  <ScaleCrop>false</ScaleCrop>
  <LinksUpToDate>false</LinksUpToDate>
  <CharactersWithSpaces>2873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2026-01-14T10:02:00Z</dcterms:created>
  <dc:creator>何烷桦</dc:creator>
  <cp:lastModifiedBy>  </cp:lastModifiedBy>
  <dcterms:modified xsi:type="dcterms:W3CDTF">2026-05-13T10:39:15Z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8E75229A22414FAFA5F704A62BB21664_13</vt:lpwstr>
  </property>
  <property fmtid="{D5CDD505-2E9C-101B-9397-08002B2CF9AE}" pid="4" name="KSOTemplateDocerSaveRecord">
    <vt:lpwstr>eyJoZGlkIjoiNjI4MGFhMzNkNWViMDFkODMyYzBmYmY3MjUyOWZjODUiLCJ1c2VySWQiOiIzNzE4MDk3NDIifQ==</vt:lpwstr>
  </property>
</Properties>
</file>