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9D2C1">
      <w:pPr>
        <w:pStyle w:val="6"/>
        <w:jc w:val="center"/>
        <w:outlineLvl w:val="1"/>
      </w:pPr>
      <w:r>
        <w:rPr>
          <w:b/>
          <w:sz w:val="36"/>
        </w:rPr>
        <w:t>采购需求</w:t>
      </w:r>
    </w:p>
    <w:p w14:paraId="62BB74D5">
      <w:pPr>
        <w:pStyle w:val="6"/>
        <w:outlineLvl w:val="2"/>
      </w:pPr>
      <w:r>
        <w:rPr>
          <w:b/>
          <w:sz w:val="28"/>
        </w:rPr>
        <w:t>一、项目概况：</w:t>
      </w:r>
    </w:p>
    <w:p w14:paraId="16EAA4A2">
      <w:pPr>
        <w:pStyle w:val="6"/>
      </w:pPr>
      <w:r>
        <w:rPr>
          <w:b/>
          <w:color w:val="222222"/>
          <w:sz w:val="24"/>
        </w:rPr>
        <w:t>服务要求：</w:t>
      </w:r>
    </w:p>
    <w:p w14:paraId="537A9312">
      <w:pPr>
        <w:pStyle w:val="6"/>
        <w:jc w:val="left"/>
      </w:pPr>
      <w:r>
        <w:rPr>
          <w:b/>
          <w:color w:val="222222"/>
          <w:sz w:val="24"/>
        </w:rPr>
        <w:t>（一）检测服务内容及服务收费规定</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11"/>
        <w:gridCol w:w="3885"/>
        <w:gridCol w:w="2310"/>
      </w:tblGrid>
      <w:tr w14:paraId="1FDE89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0715703">
            <w:pPr>
              <w:pStyle w:val="6"/>
              <w:jc w:val="center"/>
            </w:pPr>
            <w:r>
              <w:rPr>
                <w:sz w:val="24"/>
              </w:rPr>
              <w:t>采购内容</w:t>
            </w:r>
          </w:p>
        </w:tc>
        <w:tc>
          <w:tcPr>
            <w:tcW w:w="3885" w:type="dxa"/>
            <w:tcBorders>
              <w:top w:val="single" w:color="000000" w:sz="4" w:space="0"/>
              <w:left w:val="nil"/>
              <w:bottom w:val="single" w:color="auto" w:sz="4" w:space="0"/>
              <w:right w:val="single" w:color="000000" w:sz="4" w:space="0"/>
            </w:tcBorders>
            <w:tcMar>
              <w:top w:w="0" w:type="dxa"/>
              <w:left w:w="0" w:type="dxa"/>
              <w:bottom w:w="0" w:type="dxa"/>
              <w:right w:w="0" w:type="dxa"/>
            </w:tcMar>
            <w:vAlign w:val="top"/>
          </w:tcPr>
          <w:p w14:paraId="3D14054F">
            <w:pPr>
              <w:pStyle w:val="6"/>
              <w:jc w:val="center"/>
            </w:pPr>
            <w:r>
              <w:rPr>
                <w:sz w:val="24"/>
              </w:rPr>
              <w:t>检测服务分项</w:t>
            </w:r>
          </w:p>
        </w:tc>
        <w:tc>
          <w:tcPr>
            <w:tcW w:w="2310" w:type="dxa"/>
            <w:tcBorders>
              <w:top w:val="single" w:color="000000" w:sz="4" w:space="0"/>
              <w:left w:val="nil"/>
              <w:bottom w:val="single" w:color="auto" w:sz="4" w:space="0"/>
              <w:right w:val="single" w:color="000000" w:sz="4" w:space="0"/>
            </w:tcBorders>
            <w:tcMar>
              <w:top w:w="0" w:type="dxa"/>
              <w:left w:w="0" w:type="dxa"/>
              <w:bottom w:w="0" w:type="dxa"/>
              <w:right w:w="0" w:type="dxa"/>
            </w:tcMar>
            <w:vAlign w:val="top"/>
          </w:tcPr>
          <w:p w14:paraId="5AA4812E">
            <w:pPr>
              <w:pStyle w:val="6"/>
              <w:jc w:val="center"/>
            </w:pPr>
            <w:r>
              <w:rPr>
                <w:sz w:val="24"/>
              </w:rPr>
              <w:t>检测服务分项的</w:t>
            </w:r>
          </w:p>
          <w:p w14:paraId="7A695DD2">
            <w:pPr>
              <w:pStyle w:val="6"/>
              <w:jc w:val="center"/>
            </w:pPr>
            <w:r>
              <w:rPr>
                <w:sz w:val="24"/>
              </w:rPr>
              <w:t>基准单价</w:t>
            </w:r>
          </w:p>
        </w:tc>
      </w:tr>
      <w:tr w14:paraId="38DEDB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11" w:type="dxa"/>
            <w:vMerge w:val="restart"/>
            <w:tcBorders>
              <w:top w:val="nil"/>
              <w:left w:val="single" w:color="000000" w:sz="4" w:space="0"/>
              <w:right w:val="single" w:color="auto" w:sz="4" w:space="0"/>
            </w:tcBorders>
          </w:tcPr>
          <w:p w14:paraId="7B624F79">
            <w:pPr>
              <w:jc w:val="center"/>
              <w:rPr>
                <w:rFonts w:hint="default" w:eastAsiaTheme="minorEastAsia"/>
                <w:lang w:val="en-US" w:eastAsia="zh-CN"/>
              </w:rPr>
            </w:pPr>
            <w:r>
              <w:rPr>
                <w:rFonts w:hint="eastAsia"/>
                <w:lang w:val="en-US" w:eastAsia="zh-CN"/>
              </w:rPr>
              <w:t>检测服务</w:t>
            </w:r>
          </w:p>
        </w:tc>
        <w:tc>
          <w:tcPr>
            <w:tcW w:w="38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C5C39B6">
            <w:pPr>
              <w:keepNext w:val="0"/>
              <w:keepLines w:val="0"/>
              <w:widowControl/>
              <w:suppressLineNumbers w:val="0"/>
              <w:jc w:val="center"/>
              <w:textAlignment w:val="center"/>
            </w:pPr>
            <w:r>
              <w:rPr>
                <w:rStyle w:val="7"/>
                <w:lang w:val="en-US" w:eastAsia="zh-CN" w:bidi="ar"/>
              </w:rPr>
              <w:t>全外显子组测序（家系</w:t>
            </w:r>
            <w:r>
              <w:rPr>
                <w:rStyle w:val="8"/>
                <w:rFonts w:eastAsia="宋体"/>
                <w:lang w:val="en-US" w:eastAsia="zh-CN" w:bidi="ar"/>
              </w:rPr>
              <w:t>trio</w:t>
            </w:r>
            <w:r>
              <w:rPr>
                <w:rStyle w:val="7"/>
                <w:lang w:val="en-US" w:eastAsia="zh-CN" w:bidi="ar"/>
              </w:rPr>
              <w:t>）</w:t>
            </w:r>
          </w:p>
        </w:tc>
        <w:tc>
          <w:tcPr>
            <w:tcW w:w="23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01355C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5540</w:t>
            </w:r>
          </w:p>
        </w:tc>
      </w:tr>
      <w:tr w14:paraId="67F678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11" w:type="dxa"/>
            <w:vMerge w:val="continue"/>
            <w:tcBorders>
              <w:left w:val="single" w:color="000000" w:sz="4" w:space="0"/>
              <w:right w:val="single" w:color="auto" w:sz="4" w:space="0"/>
            </w:tcBorders>
          </w:tcPr>
          <w:p w14:paraId="41AFC43F">
            <w:pPr>
              <w:jc w:val="center"/>
              <w:rPr>
                <w:rFonts w:hint="eastAsia"/>
                <w:lang w:val="en-US" w:eastAsia="zh-CN"/>
              </w:rPr>
            </w:pPr>
          </w:p>
        </w:tc>
        <w:tc>
          <w:tcPr>
            <w:tcW w:w="38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824CFCE">
            <w:pPr>
              <w:keepNext w:val="0"/>
              <w:keepLines w:val="0"/>
              <w:widowControl/>
              <w:suppressLineNumbers w:val="0"/>
              <w:jc w:val="center"/>
              <w:textAlignment w:val="center"/>
              <w:rPr>
                <w:sz w:val="24"/>
              </w:rPr>
            </w:pPr>
            <w:r>
              <w:rPr>
                <w:rStyle w:val="7"/>
                <w:lang w:val="en-US" w:eastAsia="zh-CN" w:bidi="ar"/>
              </w:rPr>
              <w:t>全外显子组测序（核心家系携带者筛查）</w:t>
            </w:r>
          </w:p>
        </w:tc>
        <w:tc>
          <w:tcPr>
            <w:tcW w:w="23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3ABBCA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5120</w:t>
            </w:r>
          </w:p>
        </w:tc>
      </w:tr>
      <w:tr w14:paraId="43627B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11" w:type="dxa"/>
            <w:vMerge w:val="continue"/>
            <w:tcBorders>
              <w:left w:val="single" w:color="000000" w:sz="4" w:space="0"/>
              <w:right w:val="single" w:color="auto" w:sz="4" w:space="0"/>
            </w:tcBorders>
          </w:tcPr>
          <w:p w14:paraId="6F0FA576">
            <w:pPr>
              <w:jc w:val="center"/>
              <w:rPr>
                <w:rFonts w:hint="eastAsia"/>
                <w:lang w:val="en-US" w:eastAsia="zh-CN"/>
              </w:rPr>
            </w:pPr>
          </w:p>
        </w:tc>
        <w:tc>
          <w:tcPr>
            <w:tcW w:w="38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788E5D8">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全外显子组测序（先证者）</w:t>
            </w:r>
          </w:p>
        </w:tc>
        <w:tc>
          <w:tcPr>
            <w:tcW w:w="23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3C15F6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2880</w:t>
            </w:r>
          </w:p>
        </w:tc>
      </w:tr>
      <w:tr w14:paraId="3A9F0D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11" w:type="dxa"/>
            <w:vMerge w:val="continue"/>
            <w:tcBorders>
              <w:left w:val="single" w:color="000000" w:sz="4" w:space="0"/>
              <w:right w:val="single" w:color="auto" w:sz="4" w:space="0"/>
            </w:tcBorders>
          </w:tcPr>
          <w:p w14:paraId="7855C898">
            <w:pPr>
              <w:jc w:val="center"/>
              <w:rPr>
                <w:rFonts w:hint="eastAsia"/>
                <w:lang w:val="en-US" w:eastAsia="zh-CN"/>
              </w:rPr>
            </w:pPr>
          </w:p>
        </w:tc>
        <w:tc>
          <w:tcPr>
            <w:tcW w:w="38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484EDD7">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线粒体基因组检测（需组合先证者全外显子测序）（遗传9）</w:t>
            </w:r>
          </w:p>
        </w:tc>
        <w:tc>
          <w:tcPr>
            <w:tcW w:w="23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E12F8F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1760</w:t>
            </w:r>
          </w:p>
        </w:tc>
      </w:tr>
      <w:tr w14:paraId="3805DD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11" w:type="dxa"/>
            <w:vMerge w:val="continue"/>
            <w:tcBorders>
              <w:left w:val="single" w:color="000000" w:sz="4" w:space="0"/>
              <w:bottom w:val="single" w:color="000000" w:sz="4" w:space="0"/>
              <w:right w:val="single" w:color="auto" w:sz="4" w:space="0"/>
            </w:tcBorders>
          </w:tcPr>
          <w:p w14:paraId="49492D54">
            <w:pPr>
              <w:jc w:val="center"/>
              <w:rPr>
                <w:rFonts w:hint="eastAsia"/>
                <w:lang w:val="en-US" w:eastAsia="zh-CN"/>
              </w:rPr>
            </w:pPr>
          </w:p>
        </w:tc>
        <w:tc>
          <w:tcPr>
            <w:tcW w:w="38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EBAA075">
            <w:pPr>
              <w:keepNext w:val="0"/>
              <w:keepLines w:val="0"/>
              <w:widowControl/>
              <w:suppressLineNumbers w:val="0"/>
              <w:jc w:val="center"/>
              <w:textAlignment w:val="center"/>
              <w:rPr>
                <w:sz w:val="24"/>
              </w:rPr>
            </w:pPr>
            <w:r>
              <w:rPr>
                <w:rStyle w:val="7"/>
                <w:lang w:val="en-US" w:eastAsia="zh-CN" w:bidi="ar"/>
              </w:rPr>
              <w:t>全外显子组测序（家系</w:t>
            </w:r>
            <w:r>
              <w:rPr>
                <w:rStyle w:val="8"/>
                <w:rFonts w:eastAsia="宋体"/>
                <w:lang w:val="en-US" w:eastAsia="zh-CN" w:bidi="ar"/>
              </w:rPr>
              <w:t>trio</w:t>
            </w:r>
            <w:r>
              <w:rPr>
                <w:rStyle w:val="7"/>
                <w:lang w:val="en-US" w:eastAsia="zh-CN" w:bidi="ar"/>
              </w:rPr>
              <w:t>）</w:t>
            </w:r>
          </w:p>
        </w:tc>
        <w:tc>
          <w:tcPr>
            <w:tcW w:w="23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689F1F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5540</w:t>
            </w:r>
          </w:p>
        </w:tc>
      </w:tr>
    </w:tbl>
    <w:p w14:paraId="31CBBA2F">
      <w:pPr>
        <w:pStyle w:val="6"/>
        <w:ind w:firstLine="480"/>
        <w:jc w:val="both"/>
      </w:pPr>
      <w:r>
        <w:rPr>
          <w:color w:val="222222"/>
          <w:sz w:val="24"/>
        </w:rPr>
        <w:t>1.</w:t>
      </w:r>
      <w:r>
        <w:rPr>
          <w:sz w:val="24"/>
        </w:rPr>
        <w:t>如遇到国家、省、市相关部门政策调整或耗材集采导致检测服务分项基准单价发生变化，双方应及时调整相应检测服务分项基准单价，调低不调高。</w:t>
      </w:r>
    </w:p>
    <w:p w14:paraId="767F298F">
      <w:pPr>
        <w:pStyle w:val="6"/>
        <w:ind w:firstLine="480"/>
        <w:jc w:val="both"/>
      </w:pPr>
      <w:r>
        <w:rPr>
          <w:color w:val="222222"/>
          <w:sz w:val="24"/>
        </w:rPr>
        <w:t>2.本项目采购内容根据实际检测项目和数量进行结算，若在服务有效期内，采购内容的专项资金（项目预算金额）提前使用完毕，可依照相关法规要求继续以原合同价格与乙方协商签订补充合同，补充合同采购金额不超过专项资金（项目预算金额）的10%，达到专项资金（项目预算金额）的10%，本项目所有合同自动终止。</w:t>
      </w:r>
    </w:p>
    <w:p w14:paraId="726F20F8">
      <w:pPr>
        <w:pStyle w:val="6"/>
        <w:ind w:firstLine="480"/>
        <w:jc w:val="both"/>
      </w:pPr>
      <w:r>
        <w:rPr>
          <w:color w:val="222222"/>
          <w:sz w:val="24"/>
        </w:rPr>
        <w:t>3.投标报价不超过本项目最高限价，投标单价不超过本项目相应单项的最高单价限价。</w:t>
      </w:r>
    </w:p>
    <w:p w14:paraId="1B6595D4">
      <w:pPr>
        <w:pStyle w:val="6"/>
        <w:ind w:left="480"/>
        <w:jc w:val="left"/>
      </w:pPr>
      <w:r>
        <w:rPr>
          <w:b/>
          <w:color w:val="222222"/>
          <w:sz w:val="24"/>
        </w:rPr>
        <w:t>（二）</w:t>
      </w:r>
      <w:r>
        <w:rPr>
          <w:b/>
          <w:sz w:val="24"/>
        </w:rPr>
        <w:t>服务范围及服务内容</w:t>
      </w:r>
      <w:r>
        <w:br w:type="textWrapping"/>
      </w:r>
      <w:r>
        <w:rPr>
          <w:b/>
          <w:sz w:val="24"/>
        </w:rPr>
        <w:t>1.检测范围要求</w:t>
      </w:r>
    </w:p>
    <w:p w14:paraId="66BD6C74">
      <w:pPr>
        <w:pStyle w:val="6"/>
        <w:ind w:firstLine="480"/>
        <w:jc w:val="both"/>
        <w:rPr>
          <w:sz w:val="24"/>
          <w:highlight w:val="none"/>
        </w:rPr>
      </w:pPr>
      <w:r>
        <w:rPr>
          <w:rFonts w:hint="eastAsia"/>
          <w:sz w:val="24"/>
          <w:lang w:val="en-US" w:eastAsia="zh-CN"/>
        </w:rPr>
        <w:t>全</w:t>
      </w:r>
      <w:r>
        <w:rPr>
          <w:rFonts w:hint="eastAsia"/>
          <w:sz w:val="24"/>
        </w:rPr>
        <w:t>外显子组检测采用目标区域捕获技术</w:t>
      </w:r>
      <w:r>
        <w:rPr>
          <w:rFonts w:hint="eastAsia"/>
          <w:sz w:val="24"/>
          <w:lang w:val="en-US" w:eastAsia="zh-CN"/>
        </w:rPr>
        <w:t>和</w:t>
      </w:r>
      <w:r>
        <w:rPr>
          <w:rFonts w:hint="eastAsia"/>
          <w:sz w:val="24"/>
        </w:rPr>
        <w:t>二代高通量测序技术，一次性检测人类基因组中约</w:t>
      </w:r>
      <w:r>
        <w:rPr>
          <w:rFonts w:hint="eastAsia"/>
          <w:sz w:val="24"/>
          <w:highlight w:val="none"/>
        </w:rPr>
        <w:t>2</w:t>
      </w:r>
      <w:r>
        <w:rPr>
          <w:rFonts w:hint="eastAsia"/>
          <w:sz w:val="24"/>
          <w:highlight w:val="none"/>
          <w:lang w:val="en-US" w:eastAsia="zh-CN"/>
        </w:rPr>
        <w:t>0</w:t>
      </w:r>
      <w:r>
        <w:rPr>
          <w:rFonts w:hint="eastAsia"/>
          <w:sz w:val="24"/>
          <w:highlight w:val="none"/>
        </w:rPr>
        <w:t>000个目标基因，可检测变异类型包括SNV/InDel、CNV（外显子级别、染色体微缺失微重复）、染色体数目异常、嵌合体变异、UPD以及线粒体环等，可针对染色体病、基因组病、单基因病以及线粒体病一次性解决</w:t>
      </w:r>
      <w:r>
        <w:rPr>
          <w:sz w:val="24"/>
          <w:highlight w:val="none"/>
        </w:rPr>
        <w:t>。</w:t>
      </w:r>
    </w:p>
    <w:p w14:paraId="67FF2569">
      <w:pPr>
        <w:pStyle w:val="6"/>
        <w:spacing w:after="120"/>
        <w:ind w:firstLine="482"/>
        <w:jc w:val="both"/>
        <w:rPr>
          <w:highlight w:val="none"/>
        </w:rPr>
      </w:pPr>
      <w:r>
        <w:rPr>
          <w:b/>
          <w:sz w:val="24"/>
          <w:highlight w:val="none"/>
        </w:rPr>
        <w:t>2.总体服务要求：</w:t>
      </w:r>
    </w:p>
    <w:p w14:paraId="76914F8F">
      <w:pPr>
        <w:pStyle w:val="6"/>
        <w:ind w:firstLine="480"/>
        <w:jc w:val="both"/>
        <w:rPr>
          <w:highlight w:val="none"/>
        </w:rPr>
      </w:pPr>
      <w:r>
        <w:rPr>
          <w:color w:val="222222"/>
          <w:sz w:val="24"/>
          <w:highlight w:val="none"/>
        </w:rPr>
        <w:t>（1）乙方负责提供检测服务所用试剂，以及提供检测结果分析服务，并协助甲方进行检测、出具检测报告。</w:t>
      </w:r>
    </w:p>
    <w:p w14:paraId="5C719FDA">
      <w:pPr>
        <w:pStyle w:val="6"/>
        <w:ind w:firstLine="480"/>
        <w:jc w:val="both"/>
        <w:rPr>
          <w:highlight w:val="none"/>
        </w:rPr>
      </w:pPr>
      <w:r>
        <w:rPr>
          <w:color w:val="222222"/>
          <w:sz w:val="24"/>
          <w:highlight w:val="none"/>
        </w:rPr>
        <w:t>（2）乙方具有完善的客户服务体系，客服中心设有400电话，能够及时解决客户的各种问题及咨询。</w:t>
      </w:r>
    </w:p>
    <w:p w14:paraId="17349587">
      <w:pPr>
        <w:pStyle w:val="6"/>
        <w:ind w:firstLine="480"/>
        <w:jc w:val="both"/>
        <w:rPr>
          <w:rFonts w:hint="eastAsia"/>
          <w:color w:val="222222"/>
          <w:sz w:val="24"/>
          <w:highlight w:val="none"/>
        </w:rPr>
      </w:pPr>
      <w:r>
        <w:rPr>
          <w:rFonts w:hint="eastAsia"/>
          <w:color w:val="222222"/>
          <w:sz w:val="24"/>
          <w:highlight w:val="none"/>
        </w:rPr>
        <w:t>（3）乙方具有专业的生信分析团队及遗传咨询团队，并具有专业的遗传咨询证书，需提供证书复印件给甲方。乙方提供甲方免费的人工智能高质量的测序数据重分析平台或工具。</w:t>
      </w:r>
    </w:p>
    <w:p w14:paraId="646406A4">
      <w:pPr>
        <w:pStyle w:val="6"/>
        <w:ind w:firstLine="480"/>
        <w:jc w:val="both"/>
        <w:rPr>
          <w:rFonts w:hint="eastAsia"/>
          <w:b/>
          <w:bCs/>
          <w:color w:val="222222"/>
          <w:sz w:val="24"/>
          <w:highlight w:val="red"/>
        </w:rPr>
      </w:pPr>
      <w:r>
        <w:rPr>
          <w:rFonts w:hint="eastAsia"/>
          <w:b w:val="0"/>
          <w:bCs w:val="0"/>
          <w:color w:val="222222"/>
          <w:sz w:val="24"/>
          <w:highlight w:val="none"/>
        </w:rPr>
        <w:t>（4）乙方能够提供必备的保障措施，检测范围内与表型密切相关的已知致病、可能致病突变的漏诊、误诊，而导致的医疗差错成本由乙方承担。</w:t>
      </w:r>
    </w:p>
    <w:p w14:paraId="0E7375CE">
      <w:pPr>
        <w:pStyle w:val="6"/>
        <w:ind w:firstLine="480"/>
        <w:jc w:val="both"/>
      </w:pPr>
      <w:r>
        <w:rPr>
          <w:color w:val="222222"/>
          <w:sz w:val="24"/>
        </w:rPr>
        <w:t>（</w:t>
      </w:r>
      <w:r>
        <w:rPr>
          <w:rFonts w:hint="eastAsia"/>
          <w:color w:val="222222"/>
          <w:sz w:val="24"/>
          <w:lang w:val="en-US" w:eastAsia="zh-CN"/>
        </w:rPr>
        <w:t>5</w:t>
      </w:r>
      <w:r>
        <w:rPr>
          <w:color w:val="222222"/>
          <w:sz w:val="24"/>
        </w:rPr>
        <w:t>）协助甲方出具检测报告，检测报告出具时间自采样之日起不超过10个工作日。</w:t>
      </w:r>
    </w:p>
    <w:p w14:paraId="3A518ED0">
      <w:pPr>
        <w:pStyle w:val="6"/>
        <w:ind w:firstLine="480"/>
        <w:jc w:val="left"/>
      </w:pPr>
      <w:r>
        <w:rPr>
          <w:color w:val="222222"/>
          <w:sz w:val="24"/>
        </w:rPr>
        <w:t>（</w:t>
      </w:r>
      <w:r>
        <w:rPr>
          <w:rFonts w:hint="eastAsia"/>
          <w:color w:val="222222"/>
          <w:sz w:val="24"/>
          <w:lang w:val="en-US" w:eastAsia="zh-CN"/>
        </w:rPr>
        <w:t>6</w:t>
      </w:r>
      <w:r>
        <w:rPr>
          <w:color w:val="222222"/>
          <w:sz w:val="24"/>
        </w:rPr>
        <w:t>）乙方不能把检测服务转包给第三方完成。</w:t>
      </w:r>
    </w:p>
    <w:p w14:paraId="4F740FC8">
      <w:pPr>
        <w:pStyle w:val="6"/>
        <w:jc w:val="both"/>
      </w:pPr>
      <w:r>
        <w:t>采购包1（检测服务）</w:t>
      </w:r>
    </w:p>
    <w:p w14:paraId="6E1A7251">
      <w:pPr>
        <w:pStyle w:val="6"/>
        <w:jc w:val="both"/>
      </w:pPr>
      <w:r>
        <w:rPr>
          <w:b/>
        </w:rPr>
        <w:t>1.主要商务要求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3DB0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0636D4">
            <w:pPr>
              <w:pStyle w:val="6"/>
            </w:pPr>
            <w:r>
              <w:t>标的提供的时间</w:t>
            </w:r>
          </w:p>
        </w:tc>
        <w:tc>
          <w:tcPr>
            <w:tcW w:w="4153" w:type="dxa"/>
          </w:tcPr>
          <w:p w14:paraId="2746517E">
            <w:pPr>
              <w:pStyle w:val="6"/>
            </w:pPr>
            <w:r>
              <w:t>本期服务有效期为自合同签订生效之日起1年（12个月），具体开始时间由采购人决定。若在服务有效期内，采购内容的专项资金（项目预算金额）提前使用完毕，本项目合同可提前终止。</w:t>
            </w:r>
          </w:p>
        </w:tc>
      </w:tr>
      <w:tr w14:paraId="2A995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CD3E4F5">
            <w:pPr>
              <w:pStyle w:val="6"/>
            </w:pPr>
            <w:r>
              <w:t>标的提供的地点</w:t>
            </w:r>
          </w:p>
        </w:tc>
        <w:tc>
          <w:tcPr>
            <w:tcW w:w="4153" w:type="dxa"/>
          </w:tcPr>
          <w:p w14:paraId="4273C21C">
            <w:pPr>
              <w:pStyle w:val="6"/>
            </w:pPr>
            <w:r>
              <w:t>采购人指定地点。（以合同为准）。</w:t>
            </w:r>
          </w:p>
        </w:tc>
      </w:tr>
      <w:tr w14:paraId="39214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D006834">
            <w:pPr>
              <w:pStyle w:val="6"/>
            </w:pPr>
            <w:r>
              <w:t>付款方式</w:t>
            </w:r>
          </w:p>
        </w:tc>
        <w:tc>
          <w:tcPr>
            <w:tcW w:w="4153" w:type="dxa"/>
          </w:tcPr>
          <w:p w14:paraId="2CF5B5F7">
            <w:pPr>
              <w:pStyle w:val="6"/>
            </w:pPr>
            <w:r>
              <w:t>1期：支付比例100%,按每月发生的实际金额按月结算，中标人完成当月服务后，提供准确单据进行对账、采购人确认结算金额后，在次月15日前向采购人开具合法、准确的发票以及送交结算资料，采购人核实并签收发票后于10个工作日内向支付部门提交支付申请。结算以人民币为货币单位计算和支付，并通过银行转账的方式进行。每月各检测服务分项服务费＝相应检测服务分项的中标单价×当月相应检测服务分项的实际检测数量，每月的检测服务费应为当月各检测服务分项服务费之和，按实结算。本项目的检测服务费总金额应为服务有效期内各检测服务分项服务费之和。 注：采购人在规定时间内提出支付申请手续后，即视为采购人已经按期支付，实际付款到账时间及金额以支付单位支付时间及金额为准，采购人不承担任何逾期付款的违约责任。</w:t>
            </w:r>
          </w:p>
          <w:p w14:paraId="5FF687DF">
            <w:pPr>
              <w:pStyle w:val="6"/>
            </w:pPr>
            <w:r>
              <w:t>如项目发生合同融资，采购人应当将合同款项支付到合同约定收款账户。</w:t>
            </w:r>
          </w:p>
        </w:tc>
      </w:tr>
      <w:tr w14:paraId="442C6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AC88DE3">
            <w:pPr>
              <w:pStyle w:val="6"/>
            </w:pPr>
            <w:r>
              <w:t>验收要求</w:t>
            </w:r>
          </w:p>
        </w:tc>
        <w:tc>
          <w:tcPr>
            <w:tcW w:w="4153" w:type="dxa"/>
          </w:tcPr>
          <w:p w14:paraId="55282AE4">
            <w:pPr>
              <w:pStyle w:val="6"/>
            </w:pPr>
            <w:r>
              <w:t>1期：以本项目招标文件、国家、省和市现行相关规范为验收标准。</w:t>
            </w:r>
          </w:p>
        </w:tc>
      </w:tr>
      <w:tr w14:paraId="44C7C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EF01A6A">
            <w:pPr>
              <w:pStyle w:val="6"/>
            </w:pPr>
            <w:r>
              <w:t>履约保证金</w:t>
            </w:r>
          </w:p>
        </w:tc>
        <w:tc>
          <w:tcPr>
            <w:tcW w:w="4153" w:type="dxa"/>
          </w:tcPr>
          <w:p w14:paraId="24F06B9E">
            <w:pPr>
              <w:pStyle w:val="6"/>
            </w:pPr>
            <w:r>
              <w:t>不收取</w:t>
            </w:r>
          </w:p>
        </w:tc>
      </w:tr>
      <w:tr w14:paraId="4BA23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134075">
            <w:pPr>
              <w:pStyle w:val="6"/>
            </w:pPr>
            <w:r>
              <w:t>其他</w:t>
            </w:r>
          </w:p>
        </w:tc>
        <w:tc>
          <w:tcPr>
            <w:tcW w:w="4153" w:type="dxa"/>
          </w:tcPr>
          <w:p w14:paraId="40CEF827">
            <w:pPr>
              <w:pStyle w:val="6"/>
            </w:pPr>
          </w:p>
        </w:tc>
      </w:tr>
    </w:tbl>
    <w:p w14:paraId="23B333F4">
      <w:pPr>
        <w:pStyle w:val="6"/>
      </w:pPr>
      <w:r>
        <w:t>其他商务需求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693"/>
        <w:gridCol w:w="1383"/>
        <w:gridCol w:w="2076"/>
        <w:gridCol w:w="2076"/>
        <w:gridCol w:w="3"/>
      </w:tblGrid>
      <w:tr w14:paraId="045ED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14:paraId="72D4EA3C">
            <w:pPr>
              <w:pStyle w:val="6"/>
              <w:jc w:val="center"/>
            </w:pPr>
            <w:r>
              <w:t>参数性质</w:t>
            </w:r>
          </w:p>
        </w:tc>
        <w:tc>
          <w:tcPr>
            <w:tcW w:w="2076" w:type="dxa"/>
            <w:gridSpan w:val="2"/>
          </w:tcPr>
          <w:p w14:paraId="024F0C1D">
            <w:pPr>
              <w:pStyle w:val="6"/>
              <w:jc w:val="center"/>
            </w:pPr>
            <w:r>
              <w:t>编号</w:t>
            </w:r>
          </w:p>
        </w:tc>
        <w:tc>
          <w:tcPr>
            <w:tcW w:w="2076" w:type="dxa"/>
          </w:tcPr>
          <w:p w14:paraId="71456BAF">
            <w:pPr>
              <w:pStyle w:val="6"/>
              <w:jc w:val="center"/>
            </w:pPr>
            <w:r>
              <w:t>内容明细</w:t>
            </w:r>
          </w:p>
        </w:tc>
        <w:tc>
          <w:tcPr>
            <w:tcW w:w="2076" w:type="dxa"/>
          </w:tcPr>
          <w:p w14:paraId="3B9F195D">
            <w:pPr>
              <w:pStyle w:val="6"/>
              <w:jc w:val="center"/>
            </w:pPr>
            <w:r>
              <w:t>内容说明</w:t>
            </w:r>
          </w:p>
        </w:tc>
      </w:tr>
      <w:tr w14:paraId="54376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14:paraId="602CDCF5"/>
        </w:tc>
        <w:tc>
          <w:tcPr>
            <w:tcW w:w="2076" w:type="dxa"/>
            <w:gridSpan w:val="2"/>
          </w:tcPr>
          <w:p w14:paraId="2831D860">
            <w:pPr>
              <w:pStyle w:val="6"/>
              <w:jc w:val="center"/>
            </w:pPr>
            <w:r>
              <w:t>1</w:t>
            </w:r>
          </w:p>
        </w:tc>
        <w:tc>
          <w:tcPr>
            <w:tcW w:w="2076" w:type="dxa"/>
          </w:tcPr>
          <w:p w14:paraId="039BBAE0">
            <w:pPr>
              <w:pStyle w:val="6"/>
              <w:jc w:val="left"/>
            </w:pPr>
            <w:r>
              <w:t>其他</w:t>
            </w:r>
          </w:p>
        </w:tc>
        <w:tc>
          <w:tcPr>
            <w:tcW w:w="2076" w:type="dxa"/>
          </w:tcPr>
          <w:p w14:paraId="7ABDD966">
            <w:pPr>
              <w:pStyle w:val="6"/>
              <w:jc w:val="left"/>
            </w:pPr>
            <w:r>
              <w:t>1.本次采购内容为江门市妇幼保健院检测服务项目（具体要求详见“技术要求”）。供应商不得将本项目中的内容拆散来响应。 2.供应商应当提供相关的财务及资信情况资料，以证明其经营状况及履约能力。 3.供应商如属于小型和微型企业（监狱企业、残疾人福利单位视同小型、微型企业）的，应在响应文件中提供相关证明材料。 4.投标报价应为人民币含税全包价。 5.采购合同由成交供应商与采购人双方签订。</w:t>
            </w:r>
          </w:p>
        </w:tc>
      </w:tr>
      <w:tr w14:paraId="2ECF9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14:paraId="2119385C">
            <w:pPr>
              <w:pStyle w:val="6"/>
            </w:pPr>
            <w:r>
              <w:t>说明</w:t>
            </w:r>
          </w:p>
        </w:tc>
        <w:tc>
          <w:tcPr>
            <w:tcW w:w="5538" w:type="dxa"/>
            <w:gridSpan w:val="4"/>
          </w:tcPr>
          <w:p w14:paraId="797397F0">
            <w:pPr>
              <w:pStyle w:val="6"/>
              <w:jc w:val="left"/>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14:paraId="7541AFEA">
      <w:pPr>
        <w:pStyle w:val="6"/>
      </w:pPr>
      <w:r>
        <w:rPr>
          <w:b/>
        </w:rPr>
        <w:t>2.技术标准与要求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860"/>
        <w:gridCol w:w="860"/>
        <w:gridCol w:w="860"/>
        <w:gridCol w:w="882"/>
        <w:gridCol w:w="1279"/>
        <w:gridCol w:w="1098"/>
        <w:gridCol w:w="825"/>
        <w:gridCol w:w="765"/>
      </w:tblGrid>
      <w:tr w14:paraId="54FCE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tcPr>
          <w:p w14:paraId="2853FA06">
            <w:pPr>
              <w:pStyle w:val="6"/>
              <w:jc w:val="center"/>
            </w:pPr>
            <w:r>
              <w:t>序号</w:t>
            </w:r>
          </w:p>
        </w:tc>
        <w:tc>
          <w:tcPr>
            <w:tcW w:w="860" w:type="dxa"/>
          </w:tcPr>
          <w:p w14:paraId="5E2D864F">
            <w:pPr>
              <w:pStyle w:val="6"/>
              <w:jc w:val="center"/>
            </w:pPr>
            <w:r>
              <w:t>品目名称</w:t>
            </w:r>
          </w:p>
        </w:tc>
        <w:tc>
          <w:tcPr>
            <w:tcW w:w="860" w:type="dxa"/>
          </w:tcPr>
          <w:p w14:paraId="47D59EA3">
            <w:pPr>
              <w:pStyle w:val="6"/>
              <w:jc w:val="center"/>
            </w:pPr>
            <w:r>
              <w:t>标的名称</w:t>
            </w:r>
          </w:p>
        </w:tc>
        <w:tc>
          <w:tcPr>
            <w:tcW w:w="860" w:type="dxa"/>
          </w:tcPr>
          <w:p w14:paraId="6721EDA9">
            <w:pPr>
              <w:pStyle w:val="6"/>
              <w:jc w:val="center"/>
            </w:pPr>
            <w:r>
              <w:t>单位</w:t>
            </w:r>
          </w:p>
        </w:tc>
        <w:tc>
          <w:tcPr>
            <w:tcW w:w="882" w:type="dxa"/>
          </w:tcPr>
          <w:p w14:paraId="4454579B">
            <w:pPr>
              <w:pStyle w:val="6"/>
              <w:jc w:val="center"/>
            </w:pPr>
            <w:r>
              <w:t>数量</w:t>
            </w:r>
          </w:p>
        </w:tc>
        <w:tc>
          <w:tcPr>
            <w:tcW w:w="1279" w:type="dxa"/>
          </w:tcPr>
          <w:p w14:paraId="3D168994">
            <w:pPr>
              <w:pStyle w:val="6"/>
              <w:jc w:val="center"/>
            </w:pPr>
            <w:r>
              <w:t>分项预算单价（元）</w:t>
            </w:r>
          </w:p>
        </w:tc>
        <w:tc>
          <w:tcPr>
            <w:tcW w:w="1098" w:type="dxa"/>
          </w:tcPr>
          <w:p w14:paraId="6093FC53">
            <w:pPr>
              <w:pStyle w:val="6"/>
              <w:jc w:val="center"/>
            </w:pPr>
            <w:r>
              <w:t>分项预算总价（元）</w:t>
            </w:r>
          </w:p>
        </w:tc>
        <w:tc>
          <w:tcPr>
            <w:tcW w:w="825" w:type="dxa"/>
          </w:tcPr>
          <w:p w14:paraId="770E6D44">
            <w:pPr>
              <w:pStyle w:val="6"/>
            </w:pPr>
            <w:r>
              <w:t>所属行业</w:t>
            </w:r>
          </w:p>
        </w:tc>
        <w:tc>
          <w:tcPr>
            <w:tcW w:w="765" w:type="dxa"/>
          </w:tcPr>
          <w:p w14:paraId="67764485">
            <w:pPr>
              <w:pStyle w:val="6"/>
              <w:jc w:val="center"/>
            </w:pPr>
            <w:r>
              <w:t>技术要求</w:t>
            </w:r>
          </w:p>
        </w:tc>
      </w:tr>
      <w:tr w14:paraId="101F5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tcPr>
          <w:p w14:paraId="7C27B4BE">
            <w:pPr>
              <w:pStyle w:val="6"/>
              <w:jc w:val="center"/>
            </w:pPr>
            <w:r>
              <w:t>1</w:t>
            </w:r>
          </w:p>
        </w:tc>
        <w:tc>
          <w:tcPr>
            <w:tcW w:w="860" w:type="dxa"/>
          </w:tcPr>
          <w:p w14:paraId="4F0F8A36">
            <w:pPr>
              <w:pStyle w:val="6"/>
              <w:jc w:val="left"/>
            </w:pPr>
            <w:r>
              <w:t>其他医疗卫生服务</w:t>
            </w:r>
          </w:p>
        </w:tc>
        <w:tc>
          <w:tcPr>
            <w:tcW w:w="860" w:type="dxa"/>
          </w:tcPr>
          <w:p w14:paraId="15E03581">
            <w:pPr>
              <w:pStyle w:val="6"/>
              <w:jc w:val="left"/>
            </w:pPr>
            <w:r>
              <w:rPr>
                <w:rFonts w:hint="eastAsia"/>
                <w:lang w:val="en-US" w:eastAsia="zh-CN"/>
              </w:rPr>
              <w:t>全外显子组</w:t>
            </w:r>
            <w:r>
              <w:t>检测服务</w:t>
            </w:r>
          </w:p>
        </w:tc>
        <w:tc>
          <w:tcPr>
            <w:tcW w:w="860" w:type="dxa"/>
          </w:tcPr>
          <w:p w14:paraId="72ABFD9B">
            <w:pPr>
              <w:pStyle w:val="6"/>
              <w:jc w:val="left"/>
            </w:pPr>
            <w:r>
              <w:t>项</w:t>
            </w:r>
          </w:p>
        </w:tc>
        <w:tc>
          <w:tcPr>
            <w:tcW w:w="882" w:type="dxa"/>
          </w:tcPr>
          <w:p w14:paraId="1E0AD40F">
            <w:pPr>
              <w:pStyle w:val="6"/>
              <w:jc w:val="right"/>
            </w:pPr>
            <w:r>
              <w:t>1.00</w:t>
            </w:r>
          </w:p>
        </w:tc>
        <w:tc>
          <w:tcPr>
            <w:tcW w:w="1279" w:type="dxa"/>
          </w:tcPr>
          <w:p w14:paraId="49662E03">
            <w:pPr>
              <w:pStyle w:val="6"/>
              <w:jc w:val="right"/>
            </w:pPr>
          </w:p>
        </w:tc>
        <w:tc>
          <w:tcPr>
            <w:tcW w:w="1098" w:type="dxa"/>
          </w:tcPr>
          <w:p w14:paraId="4B058F18">
            <w:pPr>
              <w:pStyle w:val="6"/>
              <w:jc w:val="right"/>
            </w:pPr>
          </w:p>
        </w:tc>
        <w:tc>
          <w:tcPr>
            <w:tcW w:w="825" w:type="dxa"/>
          </w:tcPr>
          <w:p w14:paraId="3E3BCA26">
            <w:pPr>
              <w:pStyle w:val="6"/>
            </w:pPr>
            <w:r>
              <w:t>其他未列明行业</w:t>
            </w:r>
          </w:p>
        </w:tc>
        <w:tc>
          <w:tcPr>
            <w:tcW w:w="765" w:type="dxa"/>
          </w:tcPr>
          <w:p w14:paraId="69A3A108">
            <w:pPr>
              <w:pStyle w:val="6"/>
            </w:pPr>
            <w:r>
              <w:t>详见附表一</w:t>
            </w:r>
          </w:p>
        </w:tc>
      </w:tr>
    </w:tbl>
    <w:p w14:paraId="78DA23B1">
      <w:pPr>
        <w:pStyle w:val="6"/>
      </w:pPr>
      <w:r>
        <w:rPr>
          <w:b/>
        </w:rPr>
        <w:t>附表一：</w:t>
      </w:r>
      <w:r>
        <w:rPr>
          <w:rFonts w:hint="eastAsia"/>
          <w:b/>
          <w:lang w:val="en-US" w:eastAsia="zh-CN"/>
        </w:rPr>
        <w:t>全外显子组</w:t>
      </w:r>
      <w:r>
        <w:rPr>
          <w:b/>
        </w:rPr>
        <w:t>检测服务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65"/>
        <w:gridCol w:w="727"/>
        <w:gridCol w:w="5814"/>
      </w:tblGrid>
      <w:tr w14:paraId="41135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65" w:type="dxa"/>
          </w:tcPr>
          <w:p w14:paraId="4339F74F">
            <w:pPr>
              <w:pStyle w:val="6"/>
            </w:pPr>
            <w:r>
              <w:t>参数性质</w:t>
            </w:r>
          </w:p>
        </w:tc>
        <w:tc>
          <w:tcPr>
            <w:tcW w:w="727" w:type="dxa"/>
          </w:tcPr>
          <w:p w14:paraId="4A5A1FFB">
            <w:pPr>
              <w:pStyle w:val="6"/>
            </w:pPr>
            <w:r>
              <w:t>序号</w:t>
            </w:r>
          </w:p>
        </w:tc>
        <w:tc>
          <w:tcPr>
            <w:tcW w:w="5814" w:type="dxa"/>
          </w:tcPr>
          <w:p w14:paraId="4875A762">
            <w:pPr>
              <w:pStyle w:val="6"/>
            </w:pPr>
            <w:r>
              <w:t>具体技术(参数)要求</w:t>
            </w:r>
          </w:p>
        </w:tc>
      </w:tr>
      <w:tr w14:paraId="1E518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65" w:type="dxa"/>
          </w:tcPr>
          <w:p w14:paraId="0935735B"/>
        </w:tc>
        <w:tc>
          <w:tcPr>
            <w:tcW w:w="727" w:type="dxa"/>
          </w:tcPr>
          <w:p w14:paraId="02681977">
            <w:pPr>
              <w:pStyle w:val="6"/>
            </w:pPr>
            <w:r>
              <w:t>1</w:t>
            </w:r>
          </w:p>
        </w:tc>
        <w:tc>
          <w:tcPr>
            <w:tcW w:w="5814" w:type="dxa"/>
          </w:tcPr>
          <w:p w14:paraId="25EE7272">
            <w:pPr>
              <w:pStyle w:val="6"/>
              <w:spacing w:line="240" w:lineRule="auto"/>
              <w:jc w:val="left"/>
              <w:rPr>
                <w:rFonts w:hint="eastAsia"/>
                <w:b/>
                <w:sz w:val="22"/>
                <w:szCs w:val="18"/>
                <w:lang w:val="en-US" w:eastAsia="zh-CN"/>
              </w:rPr>
            </w:pPr>
            <w:r>
              <w:rPr>
                <w:rFonts w:hint="eastAsia"/>
                <w:b/>
                <w:sz w:val="22"/>
                <w:szCs w:val="18"/>
                <w:lang w:val="en-US" w:eastAsia="zh-CN"/>
              </w:rPr>
              <w:t>全外显子组检测服务</w:t>
            </w:r>
          </w:p>
          <w:p w14:paraId="14C8A543">
            <w:pPr>
              <w:jc w:val="left"/>
              <w:rPr>
                <w:rFonts w:hint="eastAsia" w:asciiTheme="minorEastAsia" w:hAnsi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bCs/>
                <w:color w:val="000000" w:themeColor="text1"/>
                <w:sz w:val="24"/>
                <w:szCs w:val="24"/>
                <w:highlight w:val="none"/>
                <w:lang w:val="en-US" w:eastAsia="zh-CN"/>
                <w14:textFill>
                  <w14:solidFill>
                    <w14:schemeClr w14:val="tx1"/>
                  </w14:solidFill>
                </w14:textFill>
              </w:rPr>
              <w:t>1.探针及捕获要求：</w:t>
            </w:r>
          </w:p>
          <w:p w14:paraId="5A843D3D">
            <w:pPr>
              <w:numPr>
                <w:ilvl w:val="0"/>
                <w:numId w:val="1"/>
              </w:numPr>
              <w:spacing w:line="360" w:lineRule="auto"/>
              <w:jc w:val="both"/>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cstheme="minorEastAsia"/>
                <w:color w:val="000000" w:themeColor="text1"/>
                <w:sz w:val="24"/>
                <w:szCs w:val="32"/>
                <w:highlight w:val="none"/>
                <w:lang w:val="en-US" w:eastAsia="zh-CN"/>
                <w14:textFill>
                  <w14:solidFill>
                    <w14:schemeClr w14:val="tx1"/>
                  </w14:solidFill>
                </w14:textFill>
              </w:rPr>
              <w:t>投标人具有自主研发探针的能力，探针覆盖＞20000个基因，覆盖OMIM明确分子机制的基因、ClinGen专家组评定的基因、调节元件明确致病区域、内含子明确致病变异位点区域、线粒体环基因组以及RefGene中RNA区域等，捕获区域大小</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M，</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需</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提供产品彩页</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p>
          <w:p w14:paraId="74BA3574">
            <w:pPr>
              <w:numPr>
                <w:ilvl w:val="-1"/>
                <w:numId w:val="0"/>
              </w:numPr>
              <w:spacing w:line="360" w:lineRule="auto"/>
              <w:jc w:val="both"/>
              <w:rPr>
                <w:rFonts w:hint="eastAsia" w:asciiTheme="minorEastAsia" w:hAnsiTheme="minorEastAsia" w:eastAsiaTheme="minorEastAsia" w:cstheme="minorEastAsia"/>
                <w:b/>
                <w:bCs/>
                <w:color w:val="000000" w:themeColor="text1"/>
                <w:sz w:val="24"/>
                <w:highlight w:val="green"/>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2.样本要求样本处理要求：</w:t>
            </w:r>
          </w:p>
          <w:p w14:paraId="697B6246">
            <w:pPr>
              <w:numPr>
                <w:ilvl w:val="-1"/>
                <w:numId w:val="0"/>
              </w:numPr>
              <w:spacing w:line="360" w:lineRule="auto"/>
              <w:jc w:val="both"/>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2.1.投标人具备处理外周血、口腔拭子、组织、微量新生儿干血片、羊水、脐带血样本等特殊样本的实验能力；</w:t>
            </w:r>
          </w:p>
          <w:p w14:paraId="123EB0F5">
            <w:pPr>
              <w:numPr>
                <w:ilvl w:val="0"/>
                <w:numId w:val="0"/>
              </w:numPr>
              <w:spacing w:line="360" w:lineRule="auto"/>
              <w:jc w:val="both"/>
              <w:rPr>
                <w:rFonts w:hint="eastAsia" w:asciiTheme="minorEastAsia" w:hAnsiTheme="minorEastAsia" w:cstheme="minorEastAsia"/>
                <w:color w:val="auto"/>
                <w:sz w:val="24"/>
                <w:szCs w:val="32"/>
                <w:highlight w:val="none"/>
                <w:lang w:val="en-US" w:eastAsia="zh-CN"/>
              </w:rPr>
            </w:pPr>
            <w:r>
              <w:rPr>
                <w:rFonts w:hint="eastAsia" w:asciiTheme="minorEastAsia" w:hAnsiTheme="minorEastAsia" w:cstheme="minorEastAsia"/>
                <w:color w:val="auto"/>
                <w:sz w:val="24"/>
                <w:szCs w:val="32"/>
                <w:highlight w:val="none"/>
                <w:lang w:val="en-US" w:eastAsia="zh-CN"/>
              </w:rPr>
              <w:t>▲2.2. 投标人具有处理痕量DNA样本（≤50ng）、新生儿干血片样本（≤3个干血斑）等特殊样本开展全外显子组检测的能力，需提供公开发表的文献或专利等证明文件。</w:t>
            </w:r>
          </w:p>
          <w:p w14:paraId="51716590">
            <w:pPr>
              <w:numPr>
                <w:ilvl w:val="0"/>
                <w:numId w:val="0"/>
              </w:numPr>
              <w:spacing w:line="360" w:lineRule="auto"/>
              <w:jc w:val="both"/>
              <w:rPr>
                <w:rFonts w:hint="eastAsia" w:asciiTheme="minorEastAsia" w:hAnsiTheme="minorEastAsia" w:cstheme="minorEastAsia"/>
                <w:b/>
                <w:bCs/>
                <w:color w:val="auto"/>
                <w:sz w:val="24"/>
                <w:szCs w:val="32"/>
                <w:highlight w:val="none"/>
                <w:lang w:val="en-US" w:eastAsia="zh-CN"/>
              </w:rPr>
            </w:pPr>
            <w:r>
              <w:rPr>
                <w:rFonts w:hint="eastAsia" w:asciiTheme="minorEastAsia" w:hAnsiTheme="minorEastAsia" w:cstheme="minorEastAsia"/>
                <w:b/>
                <w:bCs/>
                <w:color w:val="auto"/>
                <w:sz w:val="24"/>
                <w:szCs w:val="32"/>
                <w:highlight w:val="none"/>
                <w:lang w:val="en-US" w:eastAsia="zh-CN"/>
              </w:rPr>
              <w:t>3.实验建库要求：</w:t>
            </w:r>
          </w:p>
          <w:p w14:paraId="520D257A">
            <w:pPr>
              <w:numPr>
                <w:ilvl w:val="-1"/>
                <w:numId w:val="0"/>
              </w:numPr>
              <w:spacing w:line="360" w:lineRule="auto"/>
              <w:jc w:val="both"/>
              <w:rPr>
                <w:rFonts w:hint="eastAsia" w:asciiTheme="minorEastAsia" w:hAnsiTheme="minorEastAsia" w:cstheme="minorEastAsia"/>
                <w:color w:val="auto"/>
                <w:highlight w:val="none"/>
              </w:rPr>
            </w:pP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32"/>
                <w:highlight w:val="none"/>
                <w:lang w:val="en-US" w:eastAsia="zh-CN"/>
              </w:rPr>
              <w:t>3.1湿实验环节需采用专利建库技术，减少实验步骤及人为错误可能，保证数据均一性，需提供专利证明文件。</w:t>
            </w:r>
          </w:p>
          <w:p w14:paraId="72DEF3AE">
            <w:pPr>
              <w:numPr>
                <w:ilvl w:val="-1"/>
                <w:numId w:val="0"/>
              </w:numPr>
              <w:spacing w:line="360" w:lineRule="auto"/>
              <w:jc w:val="both"/>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lang w:val="en-US" w:eastAsia="zh-CN"/>
              </w:rPr>
              <w:t>3.2</w:t>
            </w:r>
            <w:r>
              <w:rPr>
                <w:rFonts w:hint="eastAsia" w:asciiTheme="minorEastAsia" w:hAnsiTheme="minorEastAsia" w:cstheme="minorEastAsia"/>
                <w:color w:val="auto"/>
                <w:sz w:val="24"/>
                <w:highlight w:val="none"/>
              </w:rPr>
              <w:t>探针捕获效率：≥60%</w:t>
            </w:r>
          </w:p>
          <w:p w14:paraId="356BE5B9">
            <w:pPr>
              <w:numPr>
                <w:ilvl w:val="0"/>
                <w:numId w:val="0"/>
              </w:numPr>
              <w:spacing w:line="360" w:lineRule="auto"/>
              <w:jc w:val="both"/>
              <w:rPr>
                <w:rFonts w:hint="eastAsia" w:asciiTheme="minorEastAsia" w:hAnsiTheme="minorEastAsia" w:cstheme="minorEastAsia"/>
                <w:b/>
                <w:bCs/>
                <w:sz w:val="24"/>
                <w:highlight w:val="none"/>
                <w:lang w:val="en-US" w:eastAsia="zh-CN"/>
              </w:rPr>
            </w:pPr>
            <w:r>
              <w:rPr>
                <w:rFonts w:hint="eastAsia" w:asciiTheme="minorEastAsia" w:hAnsiTheme="minorEastAsia" w:cstheme="minorEastAsia"/>
                <w:b/>
                <w:bCs/>
                <w:sz w:val="24"/>
                <w:szCs w:val="24"/>
                <w:highlight w:val="none"/>
                <w:lang w:val="en-US" w:eastAsia="zh-CN"/>
              </w:rPr>
              <w:t>4.测序平台及测序质量要求：</w:t>
            </w:r>
          </w:p>
          <w:p w14:paraId="7E520FE1">
            <w:pPr>
              <w:numPr>
                <w:ilvl w:val="0"/>
                <w:numId w:val="0"/>
              </w:numPr>
              <w:spacing w:line="360" w:lineRule="auto"/>
              <w:jc w:val="both"/>
              <w:rPr>
                <w:rFonts w:hint="eastAsia" w:asciiTheme="minorEastAsia" w:hAnsiTheme="minorEastAsia" w:cstheme="minorEastAsia"/>
                <w:color w:val="000000" w:themeColor="text1"/>
                <w:sz w:val="24"/>
                <w:szCs w:val="32"/>
                <w:highlight w:val="none"/>
                <w:lang w:val="en-US" w:eastAsia="zh-CN"/>
                <w14:textFill>
                  <w14:solidFill>
                    <w14:schemeClr w14:val="tx1"/>
                  </w14:solidFill>
                </w14:textFill>
              </w:rPr>
            </w:pPr>
            <w:r>
              <w:rPr>
                <w:rFonts w:hint="eastAsia" w:asciiTheme="minorEastAsia" w:hAnsiTheme="minorEastAsia" w:cstheme="minorEastAsia"/>
                <w:sz w:val="24"/>
                <w:szCs w:val="32"/>
                <w:highlight w:val="none"/>
                <w:lang w:val="en-US" w:eastAsia="zh-CN"/>
              </w:rPr>
              <w:t xml:space="preserve">▲4.1. </w:t>
            </w:r>
            <w:r>
              <w:rPr>
                <w:rFonts w:ascii="宋体" w:hAnsi="宋体" w:eastAsia="宋体" w:cs="宋体"/>
                <w:sz w:val="24"/>
                <w:szCs w:val="24"/>
              </w:rPr>
              <w:t>测序平台：投标人要求配备有NovaSeq平台或相同级别的其他测序平台至少2台，并通过NMPA认证，要求采用边合成边测序原理（SBS），具备支持单端和双端测序</w:t>
            </w:r>
            <w:r>
              <w:rPr>
                <w:rFonts w:hint="eastAsia" w:ascii="宋体" w:hAnsi="宋体" w:eastAsia="宋体" w:cs="宋体"/>
                <w:sz w:val="24"/>
                <w:szCs w:val="24"/>
                <w:lang w:val="en-US" w:eastAsia="zh-CN"/>
              </w:rPr>
              <w:t>,</w:t>
            </w:r>
            <w:r>
              <w:rPr>
                <w:rFonts w:ascii="宋体" w:hAnsi="宋体" w:eastAsia="宋体" w:cs="宋体"/>
                <w:sz w:val="24"/>
                <w:szCs w:val="24"/>
              </w:rPr>
              <w:t>需提供测序仪平台介绍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测序平台注册证</w:t>
            </w:r>
            <w:r>
              <w:rPr>
                <w:rFonts w:ascii="宋体" w:hAnsi="宋体" w:eastAsia="宋体" w:cs="宋体"/>
                <w:sz w:val="24"/>
                <w:szCs w:val="24"/>
              </w:rPr>
              <w:t>及采购合同。</w:t>
            </w:r>
          </w:p>
          <w:p w14:paraId="63CD72BC">
            <w:pPr>
              <w:numPr>
                <w:ilvl w:val="-1"/>
                <w:numId w:val="0"/>
              </w:numPr>
              <w:spacing w:line="360" w:lineRule="auto"/>
              <w:jc w:val="both"/>
              <w:rPr>
                <w:rFonts w:hint="eastAsia" w:asciiTheme="minorEastAsia" w:hAnsiTheme="minorEastAsia" w:cstheme="minorEastAsia"/>
                <w:sz w:val="24"/>
                <w:szCs w:val="32"/>
                <w:highlight w:val="none"/>
                <w:lang w:val="en-US" w:eastAsia="zh-CN"/>
              </w:rPr>
            </w:pPr>
            <w:r>
              <w:rPr>
                <w:rFonts w:hint="eastAsia" w:asciiTheme="minorEastAsia" w:hAnsiTheme="minorEastAsia" w:cstheme="minorEastAsia"/>
                <w:sz w:val="24"/>
                <w:szCs w:val="32"/>
                <w:highlight w:val="none"/>
                <w:lang w:val="en-US" w:eastAsia="zh-CN"/>
              </w:rPr>
              <w:t>4.2.测序数据质量：Q30&gt;85%;碱基类型分布均匀，无GC分离；平均覆盖度&gt;99.5%，20X覆盖度&gt;</w:t>
            </w:r>
            <w:r>
              <w:rPr>
                <w:rFonts w:hint="eastAsia" w:asciiTheme="minorEastAsia" w:hAnsiTheme="minorEastAsia" w:cstheme="minorEastAsia"/>
                <w:color w:val="auto"/>
                <w:sz w:val="24"/>
                <w:szCs w:val="32"/>
                <w:highlight w:val="none"/>
                <w:lang w:val="en-US" w:eastAsia="zh-CN"/>
              </w:rPr>
              <w:t>97.5%，</w:t>
            </w:r>
            <w:r>
              <w:rPr>
                <w:rFonts w:hint="eastAsia" w:asciiTheme="minorEastAsia" w:hAnsiTheme="minorEastAsia" w:eastAsiaTheme="minorEastAsia" w:cstheme="minorEastAsia"/>
                <w:color w:val="auto"/>
                <w:sz w:val="22"/>
                <w:szCs w:val="22"/>
                <w:highlight w:val="none"/>
                <w:vertAlign w:val="baseline"/>
                <w:lang w:val="en-US" w:eastAsia="zh-CN"/>
              </w:rPr>
              <w:t>Fold 80&lt;1.6；</w:t>
            </w:r>
          </w:p>
          <w:p w14:paraId="2F58F55F">
            <w:pPr>
              <w:numPr>
                <w:ilvl w:val="-1"/>
                <w:numId w:val="0"/>
              </w:numPr>
              <w:spacing w:line="360" w:lineRule="auto"/>
              <w:jc w:val="both"/>
              <w:rPr>
                <w:rFonts w:hint="eastAsia" w:asciiTheme="minorEastAsia" w:hAnsiTheme="minorEastAsia" w:cstheme="minorEastAsia"/>
                <w:b/>
                <w:bCs/>
                <w:sz w:val="24"/>
                <w:szCs w:val="32"/>
                <w:highlight w:val="none"/>
                <w:lang w:val="en-US" w:eastAsia="zh-CN"/>
              </w:rPr>
            </w:pPr>
            <w:r>
              <w:rPr>
                <w:rFonts w:hint="eastAsia" w:asciiTheme="minorEastAsia" w:hAnsiTheme="minorEastAsia" w:cstheme="minorEastAsia"/>
                <w:b/>
                <w:bCs/>
                <w:sz w:val="24"/>
                <w:szCs w:val="32"/>
                <w:highlight w:val="none"/>
                <w:lang w:val="en-US" w:eastAsia="zh-CN"/>
              </w:rPr>
              <w:t>5.数据分析要求：</w:t>
            </w:r>
          </w:p>
          <w:p w14:paraId="0BA77846">
            <w:pPr>
              <w:numPr>
                <w:ilvl w:val="0"/>
                <w:numId w:val="0"/>
              </w:numPr>
              <w:spacing w:line="360" w:lineRule="auto"/>
              <w:jc w:val="both"/>
              <w:rPr>
                <w:rFonts w:hint="eastAsia" w:asciiTheme="minorEastAsia" w:hAnsiTheme="minorEastAsia" w:cstheme="minorEastAsia"/>
                <w:color w:val="auto"/>
                <w:sz w:val="24"/>
                <w:szCs w:val="32"/>
                <w:highlight w:val="none"/>
                <w:lang w:val="en-US" w:eastAsia="zh-CN"/>
              </w:rPr>
            </w:pPr>
            <w:r>
              <w:rPr>
                <w:rFonts w:hint="eastAsia" w:asciiTheme="minorEastAsia" w:hAnsiTheme="minorEastAsia" w:cstheme="minorEastAsia"/>
                <w:color w:val="auto"/>
                <w:sz w:val="24"/>
                <w:szCs w:val="32"/>
                <w:highlight w:val="none"/>
                <w:lang w:val="en-US" w:eastAsia="zh-CN"/>
              </w:rPr>
              <w:t>▲5.1. 投标人具有支持hg19、hg38参考基因组版本生信分析流程，且使用SNV calling算法、CNV calling算法优于GATK best practice、CNVkit、XHMM，需提供专利证明文件。</w:t>
            </w:r>
          </w:p>
          <w:p w14:paraId="24E4F066">
            <w:pPr>
              <w:numPr>
                <w:ilvl w:val="0"/>
                <w:numId w:val="0"/>
              </w:numPr>
              <w:spacing w:line="360" w:lineRule="auto"/>
              <w:jc w:val="both"/>
              <w:rPr>
                <w:rFonts w:hint="eastAsia" w:asciiTheme="minorEastAsia" w:hAnsiTheme="minorEastAsia" w:cstheme="minorEastAsia"/>
                <w:color w:val="4874CB" w:themeColor="accent1"/>
                <w:highlight w:val="none"/>
                <w14:textFill>
                  <w14:solidFill>
                    <w14:schemeClr w14:val="accent1"/>
                  </w14:solidFill>
                </w14:textFill>
              </w:rPr>
            </w:pPr>
            <w:r>
              <w:rPr>
                <w:rFonts w:hint="eastAsia" w:asciiTheme="minorEastAsia" w:hAnsiTheme="minorEastAsia" w:cstheme="minorEastAsia"/>
                <w:color w:val="auto"/>
                <w:sz w:val="24"/>
                <w:szCs w:val="32"/>
                <w:highlight w:val="none"/>
                <w:lang w:val="en-US" w:eastAsia="zh-CN"/>
              </w:rPr>
              <w:t>▲5.2. 投标人全外显</w:t>
            </w:r>
            <w:r>
              <w:rPr>
                <w:rFonts w:hint="eastAsia" w:asciiTheme="minorEastAsia" w:hAnsiTheme="minorEastAsia" w:cstheme="minorEastAsia"/>
                <w:sz w:val="24"/>
                <w:szCs w:val="32"/>
                <w:highlight w:val="none"/>
                <w:lang w:val="en-US" w:eastAsia="zh-CN"/>
              </w:rPr>
              <w:t>子组可检测SNV、InDel、单个EXON_CNV、&gt;100Kb大片段CNV、ROH（家系支持UPD检测）、以及≥14个基因相关的神经</w:t>
            </w:r>
            <w:r>
              <w:rPr>
                <w:rFonts w:hint="eastAsia" w:asciiTheme="minorEastAsia" w:hAnsiTheme="minorEastAsia" w:eastAsiaTheme="minorEastAsia" w:cstheme="minorEastAsia"/>
                <w:color w:val="auto"/>
                <w:sz w:val="24"/>
                <w:highlight w:val="none"/>
                <w:lang w:val="en-US" w:eastAsia="zh-CN"/>
              </w:rPr>
              <w:t>系统动态突变疾病等，需提供脱敏报告及产品彩页等证明文件。</w:t>
            </w:r>
            <w:r>
              <w:rPr>
                <w:rFonts w:hint="eastAsia" w:asciiTheme="minorEastAsia" w:hAnsiTheme="minorEastAsia" w:cstheme="minorEastAsia"/>
                <w:color w:val="auto"/>
                <w:sz w:val="24"/>
                <w:szCs w:val="32"/>
                <w:highlight w:val="none"/>
                <w:lang w:val="en-US" w:eastAsia="zh-CN"/>
              </w:rPr>
              <w:t>线粒体基因组变异（最低检测的异质性比例1%）；</w:t>
            </w:r>
            <w:r>
              <w:rPr>
                <w:rFonts w:hint="eastAsia" w:asciiTheme="minorEastAsia" w:hAnsiTheme="minorEastAsia" w:eastAsiaTheme="minorEastAsia" w:cstheme="minorEastAsia"/>
                <w:color w:val="auto"/>
                <w:sz w:val="24"/>
                <w:highlight w:val="none"/>
                <w:lang w:val="en-US" w:eastAsia="zh-CN"/>
              </w:rPr>
              <w:t>支持分析SMA和地贫（HBA1/HBA2）特殊位点检测，支持分析ACMG推荐的作为次要发现的84个基因的可能致病或致病变异，需提供脱敏报告等证明文件。</w:t>
            </w:r>
          </w:p>
          <w:p w14:paraId="4D7EDEA3">
            <w:pPr>
              <w:numPr>
                <w:ilvl w:val="-1"/>
                <w:numId w:val="0"/>
              </w:numPr>
              <w:spacing w:line="240" w:lineRule="auto"/>
              <w:jc w:val="left"/>
              <w:rPr>
                <w:rFonts w:hint="eastAsia" w:asciiTheme="minorEastAsia" w:hAnsi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32"/>
                <w:highlight w:val="none"/>
                <w:lang w:val="en-US" w:eastAsia="zh-CN"/>
                <w14:textFill>
                  <w14:solidFill>
                    <w14:schemeClr w14:val="tx1"/>
                  </w14:solidFill>
                </w14:textFill>
              </w:rPr>
              <w:t xml:space="preserve">▲5.3. </w:t>
            </w:r>
            <w:r>
              <w:rPr>
                <w:rFonts w:hint="eastAsia" w:asciiTheme="minorEastAsia" w:hAnsiTheme="minorEastAsia" w:cstheme="minorEastAsia"/>
                <w:b w:val="0"/>
                <w:bCs w:val="0"/>
                <w:color w:val="000000" w:themeColor="text1"/>
                <w:sz w:val="24"/>
                <w:szCs w:val="24"/>
                <w:highlight w:val="none"/>
                <w:lang w:eastAsia="zh-CN"/>
                <w14:textFill>
                  <w14:solidFill>
                    <w14:schemeClr w14:val="tx1"/>
                  </w14:solidFill>
                </w14:textFill>
              </w:rPr>
              <w:t>可分析ClinVar、HGMD中收录的≥</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6</w:t>
            </w:r>
            <w:r>
              <w:rPr>
                <w:rFonts w:hint="eastAsia" w:asciiTheme="minorEastAsia" w:hAnsiTheme="minorEastAsia" w:cstheme="minorEastAsia"/>
                <w:b w:val="0"/>
                <w:bCs w:val="0"/>
                <w:color w:val="000000" w:themeColor="text1"/>
                <w:sz w:val="24"/>
                <w:szCs w:val="24"/>
                <w:highlight w:val="none"/>
                <w:lang w:eastAsia="zh-CN"/>
                <w14:textFill>
                  <w14:solidFill>
                    <w14:schemeClr w14:val="tx1"/>
                  </w14:solidFill>
                </w14:textFill>
              </w:rPr>
              <w:t>000个非编码区、深度内含子变异位点（提供位点清单等证明材料）。</w:t>
            </w:r>
          </w:p>
          <w:p w14:paraId="2616AFAB">
            <w:pPr>
              <w:numPr>
                <w:ilvl w:val="0"/>
                <w:numId w:val="0"/>
              </w:numPr>
              <w:spacing w:line="360" w:lineRule="auto"/>
              <w:jc w:val="both"/>
              <w:rPr>
                <w:rFonts w:hint="eastAsia" w:asciiTheme="minorEastAsia" w:hAnsiTheme="minorEastAsia" w:cstheme="minorEastAsia"/>
                <w:color w:val="auto"/>
                <w:sz w:val="24"/>
                <w:szCs w:val="32"/>
                <w:highlight w:val="none"/>
                <w:lang w:val="en-US" w:eastAsia="zh-CN"/>
              </w:rPr>
            </w:pPr>
            <w:r>
              <w:rPr>
                <w:rFonts w:hint="eastAsia" w:asciiTheme="minorEastAsia" w:hAnsiTheme="minorEastAsia" w:cstheme="minorEastAsia"/>
                <w:color w:val="auto"/>
                <w:sz w:val="24"/>
                <w:szCs w:val="32"/>
                <w:highlight w:val="none"/>
                <w:lang w:val="en-US" w:eastAsia="zh-CN"/>
              </w:rPr>
              <w:t>▲5.4.投标人可提供全外显子组检测后的多种变异类型验证方案，包括但不限于一代验证、CNV-seq、MLPA、qPCR、三代复杂单病（包括但不限于地中海贫血、CAH、PKD1、IKBKG等），需提供脱敏报告等证明文件。</w:t>
            </w:r>
          </w:p>
          <w:p w14:paraId="0EB8BB06">
            <w:pPr>
              <w:numPr>
                <w:ilvl w:val="0"/>
                <w:numId w:val="0"/>
              </w:numPr>
              <w:spacing w:line="360" w:lineRule="auto"/>
              <w:jc w:val="both"/>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cstheme="minorEastAsia"/>
                <w:b/>
                <w:bCs/>
                <w:color w:val="auto"/>
                <w:sz w:val="24"/>
                <w:highlight w:val="none"/>
                <w:lang w:val="en-US" w:eastAsia="zh-CN"/>
              </w:rPr>
              <w:t>6.数据库要求：</w:t>
            </w:r>
          </w:p>
          <w:p w14:paraId="263FACE3">
            <w:pPr>
              <w:numPr>
                <w:ilvl w:val="0"/>
                <w:numId w:val="0"/>
              </w:numPr>
              <w:spacing w:line="360" w:lineRule="auto"/>
              <w:jc w:val="both"/>
              <w:rPr>
                <w:rFonts w:hint="eastAsia" w:asciiTheme="minorEastAsia" w:hAnsiTheme="minorEastAsia" w:cstheme="minorEastAsia"/>
                <w:sz w:val="24"/>
                <w:szCs w:val="32"/>
                <w:highlight w:val="none"/>
                <w:lang w:val="en-US" w:eastAsia="zh-CN"/>
              </w:rPr>
            </w:pP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sz w:val="24"/>
                <w:szCs w:val="32"/>
                <w:highlight w:val="none"/>
                <w:lang w:val="en-US" w:eastAsia="zh-CN"/>
              </w:rPr>
              <w:t>6.1投标人使用的注释数据库需含公共数据库以及in house数据库，包括但不限于人群数据库1000genomes、ExAC、gnomAD、本地人群频率库等；疾病数据库：OMIM、ClinVar等；使用多种剪切预测软件，其中必须包括SpliceAI、dbscSNV、MaxEntScan等；错义突变危害预测软件：CADD、REVEL等，需提供分析解读文件等证明材料。</w:t>
            </w:r>
          </w:p>
          <w:p w14:paraId="49A7058F">
            <w:pPr>
              <w:numPr>
                <w:ilvl w:val="0"/>
                <w:numId w:val="0"/>
              </w:numPr>
              <w:spacing w:line="360" w:lineRule="auto"/>
              <w:jc w:val="both"/>
              <w:rPr>
                <w:rFonts w:hint="eastAsia" w:asciiTheme="minorEastAsia" w:hAnsiTheme="minorEastAsia" w:cstheme="minorEastAsia"/>
                <w:color w:val="auto"/>
                <w:sz w:val="24"/>
                <w:szCs w:val="32"/>
                <w:highlight w:val="none"/>
                <w:lang w:val="en-US" w:eastAsia="zh-CN"/>
              </w:rPr>
            </w:pPr>
            <w:r>
              <w:rPr>
                <w:rFonts w:hint="eastAsia" w:asciiTheme="minorEastAsia" w:hAnsiTheme="minorEastAsia" w:cstheme="minorEastAsia"/>
                <w:color w:val="auto"/>
                <w:sz w:val="24"/>
                <w:szCs w:val="32"/>
                <w:highlight w:val="none"/>
                <w:lang w:val="en-US" w:eastAsia="zh-CN"/>
              </w:rPr>
              <w:t>▲6.2投标人需提供HGMD专业版采购证明文件。</w:t>
            </w:r>
          </w:p>
          <w:p w14:paraId="534FF694">
            <w:pPr>
              <w:numPr>
                <w:ilvl w:val="0"/>
                <w:numId w:val="0"/>
              </w:numPr>
              <w:spacing w:line="360" w:lineRule="auto"/>
              <w:jc w:val="both"/>
              <w:rPr>
                <w:rFonts w:hint="eastAsia" w:asciiTheme="minorEastAsia" w:hAnsiTheme="minorEastAsia" w:cstheme="minorEastAsia"/>
                <w:color w:val="4874CB" w:themeColor="accent1"/>
                <w:sz w:val="24"/>
                <w:szCs w:val="24"/>
                <w:highlight w:val="none"/>
                <w14:textFill>
                  <w14:solidFill>
                    <w14:schemeClr w14:val="accent1"/>
                  </w14:solidFill>
                </w14:textFill>
              </w:rPr>
            </w:pPr>
            <w:r>
              <w:rPr>
                <w:rFonts w:hint="eastAsia" w:asciiTheme="minorEastAsia" w:hAnsiTheme="minorEastAsia" w:cstheme="minorEastAsia"/>
                <w:color w:val="auto"/>
                <w:sz w:val="24"/>
                <w:szCs w:val="32"/>
                <w:highlight w:val="none"/>
                <w:lang w:val="en-US" w:eastAsia="zh-CN"/>
              </w:rPr>
              <w:t>▲6.3投标人具有不少于25万的中国人群、不少于5000万变异位点的本地数据库变异信息及频率，可提供云平台查询助手，需提供系统截图及彩页证明。</w:t>
            </w:r>
          </w:p>
          <w:p w14:paraId="6B5C8B6C">
            <w:pPr>
              <w:numPr>
                <w:ilvl w:val="-1"/>
                <w:numId w:val="0"/>
              </w:numPr>
              <w:tabs>
                <w:tab w:val="left" w:pos="1050"/>
              </w:tabs>
              <w:spacing w:line="240" w:lineRule="auto"/>
              <w:jc w:val="left"/>
              <w:rPr>
                <w:rFonts w:hint="eastAsia" w:asciiTheme="minorEastAsia" w:hAnsiTheme="minorEastAsia" w:cstheme="minorEastAsia"/>
                <w:b/>
                <w:bCs/>
                <w:sz w:val="24"/>
                <w:szCs w:val="24"/>
                <w:highlight w:val="none"/>
              </w:rPr>
            </w:pPr>
            <w:r>
              <w:rPr>
                <w:rFonts w:hint="eastAsia" w:asciiTheme="minorEastAsia" w:hAnsiTheme="minorEastAsia" w:cstheme="minorEastAsia"/>
                <w:b/>
                <w:bCs/>
                <w:sz w:val="24"/>
                <w:szCs w:val="24"/>
                <w:highlight w:val="none"/>
                <w:lang w:val="en-US" w:eastAsia="zh-CN"/>
              </w:rPr>
              <w:t>7.</w:t>
            </w:r>
            <w:r>
              <w:rPr>
                <w:rFonts w:hint="eastAsia" w:asciiTheme="minorEastAsia" w:hAnsiTheme="minorEastAsia" w:cstheme="minorEastAsia"/>
                <w:b/>
                <w:bCs/>
                <w:color w:val="000000" w:themeColor="text1"/>
                <w:sz w:val="24"/>
                <w:szCs w:val="24"/>
                <w:highlight w:val="none"/>
                <w:lang w:val="en-US" w:eastAsia="zh-CN"/>
                <w14:textFill>
                  <w14:solidFill>
                    <w14:schemeClr w14:val="tx1"/>
                  </w14:solidFill>
                </w14:textFill>
              </w:rPr>
              <w:t>全外</w:t>
            </w:r>
            <w:r>
              <w:rPr>
                <w:rFonts w:hint="eastAsia" w:asciiTheme="minorEastAsia" w:hAnsiTheme="minorEastAsia" w:cstheme="minorEastAsia"/>
                <w:b/>
                <w:bCs/>
                <w:color w:val="000000" w:themeColor="text1"/>
                <w:sz w:val="24"/>
                <w:szCs w:val="24"/>
                <w:highlight w:val="none"/>
                <w14:textFill>
                  <w14:solidFill>
                    <w14:schemeClr w14:val="tx1"/>
                  </w14:solidFill>
                </w14:textFill>
              </w:rPr>
              <w:t>测序</w:t>
            </w:r>
            <w:r>
              <w:rPr>
                <w:rFonts w:hint="eastAsia" w:asciiTheme="minorEastAsia" w:hAnsiTheme="minorEastAsia" w:cstheme="minorEastAsia"/>
                <w:b/>
                <w:bCs/>
                <w:sz w:val="24"/>
                <w:szCs w:val="24"/>
                <w:highlight w:val="none"/>
              </w:rPr>
              <w:t>数据分析平台要求：</w:t>
            </w:r>
          </w:p>
          <w:p w14:paraId="2E564D28">
            <w:pPr>
              <w:numPr>
                <w:ilvl w:val="0"/>
                <w:numId w:val="0"/>
              </w:numPr>
              <w:spacing w:line="360" w:lineRule="auto"/>
              <w:jc w:val="both"/>
              <w:rPr>
                <w:rFonts w:hint="eastAsia" w:asciiTheme="minorEastAsia" w:hAnsiTheme="minorEastAsia" w:cstheme="minorEastAsia"/>
                <w:sz w:val="24"/>
                <w:szCs w:val="32"/>
                <w:highlight w:val="none"/>
                <w:lang w:val="en-US" w:eastAsia="zh-CN"/>
              </w:rPr>
            </w:pPr>
            <w:r>
              <w:rPr>
                <w:rFonts w:hint="eastAsia" w:asciiTheme="minorEastAsia" w:hAnsiTheme="minorEastAsia" w:cstheme="minorEastAsia"/>
                <w:sz w:val="24"/>
                <w:szCs w:val="32"/>
                <w:highlight w:val="none"/>
                <w:lang w:val="en-US" w:eastAsia="zh-CN"/>
              </w:rPr>
              <w:t>7.1.</w:t>
            </w:r>
            <w:r>
              <w:rPr>
                <w:rFonts w:hint="eastAsia" w:asciiTheme="minorEastAsia" w:hAnsiTheme="minorEastAsia" w:cstheme="minorEastAsia"/>
                <w:color w:val="000000" w:themeColor="text1"/>
                <w:sz w:val="24"/>
                <w:szCs w:val="32"/>
                <w:highlight w:val="none"/>
                <w:lang w:val="en-US" w:eastAsia="zh-CN"/>
                <w14:textFill>
                  <w14:solidFill>
                    <w14:schemeClr w14:val="tx1"/>
                  </w14:solidFill>
                </w14:textFill>
              </w:rPr>
              <w:t xml:space="preserve"> 投标人具备全外显子数据分析云平台，</w:t>
            </w:r>
            <w:r>
              <w:rPr>
                <w:rFonts w:hint="eastAsia" w:asciiTheme="minorEastAsia" w:hAnsiTheme="minorEastAsia" w:cstheme="minorEastAsia"/>
                <w:sz w:val="24"/>
                <w:szCs w:val="32"/>
                <w:highlight w:val="none"/>
                <w:lang w:val="en-US" w:eastAsia="zh-CN"/>
              </w:rPr>
              <w:t>需支持样本管理、上机管理、解读管理、审核管理、报告管理等系统功能，需提供系统截图；</w:t>
            </w:r>
          </w:p>
          <w:p w14:paraId="14D9DCB9">
            <w:pPr>
              <w:numPr>
                <w:ilvl w:val="0"/>
                <w:numId w:val="0"/>
              </w:numPr>
              <w:spacing w:line="360" w:lineRule="auto"/>
              <w:jc w:val="both"/>
              <w:rPr>
                <w:rFonts w:hint="eastAsia" w:asciiTheme="minorEastAsia" w:hAnsiTheme="minorEastAsia" w:cstheme="minorEastAsia"/>
                <w:sz w:val="24"/>
                <w:szCs w:val="32"/>
                <w:highlight w:val="none"/>
                <w:lang w:val="en-US" w:eastAsia="zh-CN"/>
              </w:rPr>
            </w:pPr>
            <w:r>
              <w:rPr>
                <w:rFonts w:hint="eastAsia" w:asciiTheme="minorEastAsia" w:hAnsiTheme="minorEastAsia" w:cstheme="minorEastAsia"/>
                <w:sz w:val="24"/>
                <w:szCs w:val="32"/>
                <w:highlight w:val="none"/>
                <w:lang w:val="en-US" w:eastAsia="zh-CN"/>
              </w:rPr>
              <w:t>▲7.2. 需支持BCL、fastQ、VCF等不同数据格式上传分析，需提供至少两套生信分析流程，包括通用分析流程（BWA+GATK）及自研分析流程，需提供系统截图或相关证明文件。</w:t>
            </w:r>
          </w:p>
          <w:p w14:paraId="28EE9BA8">
            <w:pPr>
              <w:numPr>
                <w:ilvl w:val="0"/>
                <w:numId w:val="0"/>
              </w:numPr>
              <w:spacing w:line="360" w:lineRule="auto"/>
              <w:jc w:val="both"/>
              <w:rPr>
                <w:rFonts w:hint="eastAsia" w:asciiTheme="minorEastAsia" w:hAnsiTheme="minorEastAsia" w:cstheme="minorEastAsia"/>
                <w:sz w:val="24"/>
                <w:szCs w:val="32"/>
                <w:highlight w:val="none"/>
                <w:lang w:val="en-US" w:eastAsia="zh-CN"/>
              </w:rPr>
            </w:pPr>
            <w:r>
              <w:rPr>
                <w:rFonts w:hint="eastAsia" w:asciiTheme="minorEastAsia" w:hAnsiTheme="minorEastAsia" w:cstheme="minorEastAsia"/>
                <w:sz w:val="24"/>
                <w:szCs w:val="32"/>
                <w:highlight w:val="none"/>
                <w:lang w:val="en-US" w:eastAsia="zh-CN"/>
              </w:rPr>
              <w:t>▲7.</w:t>
            </w:r>
            <w:r>
              <w:rPr>
                <w:rFonts w:hint="eastAsia" w:asciiTheme="minorEastAsia" w:hAnsiTheme="minorEastAsia" w:cstheme="minorEastAsia"/>
                <w:color w:val="000000" w:themeColor="text1"/>
                <w:sz w:val="24"/>
                <w:szCs w:val="32"/>
                <w:highlight w:val="none"/>
                <w:lang w:val="en-US" w:eastAsia="zh-CN"/>
                <w14:textFill>
                  <w14:solidFill>
                    <w14:schemeClr w14:val="tx1"/>
                  </w14:solidFill>
                </w14:textFill>
              </w:rPr>
              <w:t xml:space="preserve">3 </w:t>
            </w:r>
            <w:r>
              <w:rPr>
                <w:rFonts w:hint="eastAsia" w:asciiTheme="minorEastAsia" w:hAnsiTheme="minorEastAsia" w:cstheme="minorEastAsia"/>
                <w:sz w:val="24"/>
                <w:szCs w:val="32"/>
                <w:highlight w:val="none"/>
                <w:lang w:val="en-US" w:eastAsia="zh-CN"/>
              </w:rPr>
              <w:t>需支持实现ACMG自动评级及变异位点智能化排序功能，需提供专利或文献等证明文件。</w:t>
            </w:r>
          </w:p>
          <w:p w14:paraId="5350D0AC">
            <w:pPr>
              <w:numPr>
                <w:ilvl w:val="0"/>
                <w:numId w:val="0"/>
              </w:numPr>
              <w:spacing w:line="360" w:lineRule="auto"/>
              <w:jc w:val="both"/>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32"/>
                <w:highlight w:val="none"/>
                <w:lang w:val="en-US" w:eastAsia="zh-CN"/>
              </w:rPr>
              <w:t>7.4. 需提供SNV/InDel、CNV、EXON_CNV、ROH、UPD、线粒体环基因、动态突变以及特殊基因（包括但不限于SMA、DMD、地中海贫血等）的可视化分析结果展示，且支持临床表型在线更新后重分析功能，需提供软件系统截图。</w:t>
            </w:r>
          </w:p>
          <w:p w14:paraId="569DC971">
            <w:pPr>
              <w:numPr>
                <w:ilvl w:val="0"/>
                <w:numId w:val="0"/>
              </w:numPr>
              <w:spacing w:line="360" w:lineRule="auto"/>
              <w:ind w:leftChars="0"/>
              <w:jc w:val="both"/>
              <w:rPr>
                <w:rFonts w:hint="eastAsia" w:asciiTheme="minorEastAsia" w:hAnsiTheme="minorEastAsia" w:cstheme="minorEastAsia"/>
                <w:color w:val="000000" w:themeColor="text1"/>
                <w:sz w:val="24"/>
                <w:szCs w:val="3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32"/>
                <w:highlight w:val="none"/>
                <w:lang w:val="en-US" w:eastAsia="zh-CN"/>
                <w14:textFill>
                  <w14:solidFill>
                    <w14:schemeClr w14:val="tx1"/>
                  </w14:solidFill>
                </w14:textFill>
              </w:rPr>
              <w:t>▲7.5.投标人具备全外显子数据分析云平台，以便于支持用户对全外显子检测数据和报告进行在线审核，同时云平台内置</w:t>
            </w:r>
            <w:r>
              <w:rPr>
                <w:rFonts w:hint="eastAsia" w:asciiTheme="minorEastAsia" w:hAnsiTheme="minorEastAsia" w:cstheme="minorEastAsia"/>
                <w:color w:val="000000" w:themeColor="text1"/>
                <w:sz w:val="24"/>
                <w:szCs w:val="32"/>
                <w:highlight w:val="none"/>
                <w14:textFill>
                  <w14:solidFill>
                    <w14:schemeClr w14:val="tx1"/>
                  </w14:solidFill>
                </w14:textFill>
              </w:rPr>
              <w:t>可辅助临床进行遗传咨询的AI智能问答助手，支持用户围绕疾病、基因及突变位点等维度进行智能问答，回答内容需提供真实的文献PMID以便于用户溯源，</w:t>
            </w:r>
            <w:r>
              <w:rPr>
                <w:rFonts w:hint="eastAsia" w:asciiTheme="minorEastAsia" w:hAnsiTheme="minorEastAsia" w:cstheme="minorEastAsia"/>
                <w:color w:val="000000" w:themeColor="text1"/>
                <w:sz w:val="24"/>
                <w:szCs w:val="32"/>
                <w:highlight w:val="none"/>
                <w:lang w:val="en-US" w:eastAsia="zh-CN"/>
                <w14:textFill>
                  <w14:solidFill>
                    <w14:schemeClr w14:val="tx1"/>
                  </w14:solidFill>
                </w14:textFill>
              </w:rPr>
              <w:t>需内嵌专业疾病数据库（包括但不限于OMIM、Orphanet、GeneReviews等），</w:t>
            </w:r>
            <w:r>
              <w:rPr>
                <w:rFonts w:hint="eastAsia" w:asciiTheme="minorEastAsia" w:hAnsiTheme="minorEastAsia" w:cstheme="minorEastAsia"/>
                <w:color w:val="000000" w:themeColor="text1"/>
                <w:sz w:val="24"/>
                <w:szCs w:val="32"/>
                <w:highlight w:val="none"/>
                <w14:textFill>
                  <w14:solidFill>
                    <w14:schemeClr w14:val="tx1"/>
                  </w14:solidFill>
                </w14:textFill>
              </w:rPr>
              <w:t>需提供系统截图及彩页证明。</w:t>
            </w:r>
          </w:p>
          <w:p w14:paraId="7CC36449">
            <w:pPr>
              <w:numPr>
                <w:ilvl w:val="0"/>
                <w:numId w:val="0"/>
              </w:numPr>
              <w:spacing w:line="360" w:lineRule="auto"/>
              <w:ind w:leftChars="0"/>
              <w:jc w:val="both"/>
              <w:rPr>
                <w:rFonts w:hint="eastAsia" w:asciiTheme="minorEastAsia" w:hAnsiTheme="minorEastAsia" w:cstheme="minorEastAsia"/>
                <w:color w:val="000000" w:themeColor="text1"/>
                <w:sz w:val="24"/>
                <w:szCs w:val="3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32"/>
                <w:highlight w:val="none"/>
                <w:lang w:val="en-US" w:eastAsia="zh-CN"/>
                <w14:textFill>
                  <w14:solidFill>
                    <w14:schemeClr w14:val="tx1"/>
                  </w14:solidFill>
                </w14:textFill>
              </w:rPr>
              <w:t>▲7.6.投标人具备全外显子数据分析云平台，可支持用户通过输入SNVs/CNVs位置信息，获得SNVs/CNVs智能化评级结果及相关证据信息，其中CNVs智能化评级结果需根据ACMG指南要求，分别展示Section1-4证据信息，相关智能化算法有公开文献支持，需提供文献原文PDF证明。</w:t>
            </w:r>
          </w:p>
          <w:p w14:paraId="39B8CBB4">
            <w:pPr>
              <w:numPr>
                <w:ilvl w:val="0"/>
                <w:numId w:val="0"/>
              </w:numPr>
              <w:spacing w:line="360" w:lineRule="auto"/>
              <w:ind w:leftChars="0"/>
              <w:jc w:val="both"/>
              <w:rPr>
                <w:rFonts w:hint="eastAsia" w:asciiTheme="minorEastAsia" w:hAnsiTheme="minorEastAsia" w:cstheme="minorEastAsia"/>
                <w:color w:val="000000" w:themeColor="text1"/>
                <w:sz w:val="24"/>
                <w:szCs w:val="3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32"/>
                <w:highlight w:val="none"/>
                <w:lang w:val="en-US" w:eastAsia="zh-CN"/>
                <w14:textFill>
                  <w14:solidFill>
                    <w14:schemeClr w14:val="tx1"/>
                  </w14:solidFill>
                </w14:textFill>
              </w:rPr>
              <w:t>▲7.7.投标人具备全外显子数据分析云平台，云平台可支持用户输入PMID号或上传文献PDF后进行全文智能翻译，并支持用户围绕文献原文进行智能问答，获取PS3等相关证据信息，以提高全外显子数据解读效率，</w:t>
            </w:r>
            <w:r>
              <w:rPr>
                <w:rFonts w:hint="eastAsia" w:asciiTheme="minorEastAsia" w:hAnsiTheme="minorEastAsia" w:cstheme="minorEastAsia"/>
                <w:color w:val="000000" w:themeColor="text1"/>
                <w:sz w:val="24"/>
                <w:szCs w:val="32"/>
                <w:highlight w:val="none"/>
                <w14:textFill>
                  <w14:solidFill>
                    <w14:schemeClr w14:val="tx1"/>
                  </w14:solidFill>
                </w14:textFill>
              </w:rPr>
              <w:t>需提供系统截图及彩页证明。</w:t>
            </w:r>
          </w:p>
          <w:p w14:paraId="2183E946">
            <w:pPr>
              <w:numPr>
                <w:ilvl w:val="0"/>
                <w:numId w:val="0"/>
              </w:numPr>
              <w:spacing w:line="360" w:lineRule="auto"/>
              <w:jc w:val="both"/>
              <w:rPr>
                <w:rFonts w:hint="eastAsia" w:asciiTheme="minorEastAsia" w:hAnsiTheme="minorEastAsia" w:cstheme="minorEastAsia"/>
                <w:b/>
                <w:bCs/>
                <w:sz w:val="24"/>
                <w:szCs w:val="32"/>
                <w:highlight w:val="none"/>
                <w:lang w:val="en-US" w:eastAsia="zh-CN"/>
              </w:rPr>
            </w:pPr>
            <w:r>
              <w:rPr>
                <w:rFonts w:hint="eastAsia" w:asciiTheme="minorEastAsia" w:hAnsiTheme="minorEastAsia" w:cstheme="minorEastAsia"/>
                <w:b/>
                <w:bCs/>
                <w:sz w:val="24"/>
                <w:szCs w:val="32"/>
                <w:highlight w:val="none"/>
                <w:lang w:val="en-US" w:eastAsia="zh-CN"/>
              </w:rPr>
              <w:t>8.数据分析平台建设</w:t>
            </w:r>
          </w:p>
          <w:p w14:paraId="1D080B18">
            <w:pPr>
              <w:numPr>
                <w:ilvl w:val="0"/>
                <w:numId w:val="0"/>
              </w:numPr>
              <w:spacing w:line="360" w:lineRule="auto"/>
              <w:jc w:val="both"/>
              <w:rPr>
                <w:rFonts w:hint="eastAsia" w:asciiTheme="minorEastAsia" w:hAnsiTheme="minorEastAsia" w:cstheme="minorEastAsia"/>
                <w:sz w:val="24"/>
                <w:szCs w:val="32"/>
                <w:highlight w:val="none"/>
                <w:lang w:val="en-US" w:eastAsia="zh-CN"/>
              </w:rPr>
            </w:pPr>
            <w:r>
              <w:rPr>
                <w:rFonts w:hint="eastAsia" w:asciiTheme="minorEastAsia" w:hAnsiTheme="minorEastAsia" w:cstheme="minorEastAsia"/>
                <w:sz w:val="24"/>
                <w:szCs w:val="32"/>
                <w:highlight w:val="none"/>
                <w:lang w:val="en-US" w:eastAsia="zh-CN"/>
              </w:rPr>
              <w:t>▲8.1. 投标人具备高性能计算平台、PB级数据储存平台，可满足医院大样本量计算及存储需求，需信息化硬件采购合同及证明文件。</w:t>
            </w:r>
          </w:p>
          <w:p w14:paraId="761B0AB2">
            <w:pPr>
              <w:numPr>
                <w:ilvl w:val="0"/>
                <w:numId w:val="0"/>
              </w:numPr>
              <w:spacing w:line="360" w:lineRule="auto"/>
              <w:jc w:val="both"/>
              <w:rPr>
                <w:rFonts w:hint="eastAsia" w:asciiTheme="minorEastAsia" w:hAnsiTheme="minorEastAsia" w:cstheme="minorEastAsia"/>
                <w:sz w:val="24"/>
                <w:szCs w:val="32"/>
                <w:highlight w:val="none"/>
                <w:lang w:val="en-US" w:eastAsia="zh-CN"/>
              </w:rPr>
            </w:pPr>
            <w:r>
              <w:rPr>
                <w:rFonts w:hint="eastAsia" w:asciiTheme="minorEastAsia" w:hAnsiTheme="minorEastAsia" w:cstheme="minorEastAsia"/>
                <w:sz w:val="24"/>
                <w:szCs w:val="32"/>
                <w:highlight w:val="none"/>
                <w:lang w:val="en-US" w:eastAsia="zh-CN"/>
              </w:rPr>
              <w:t>▲8.2 投标人可提供云端访问和本地化数据分析一体机两种方案，具备生物信息分析及数据存储平台建设能力，包括变异位点检测系统和变异位点注释系统的生物分析平台，允许其对检测数据进行数据库比对注释分析、报告模版自定义等功能；需提供相应系统的截图和产权证明文件。</w:t>
            </w:r>
          </w:p>
          <w:p w14:paraId="38A38A67">
            <w:pPr>
              <w:numPr>
                <w:ilvl w:val="0"/>
                <w:numId w:val="0"/>
              </w:numPr>
              <w:spacing w:line="360" w:lineRule="auto"/>
              <w:jc w:val="both"/>
              <w:rPr>
                <w:rFonts w:hint="eastAsia" w:asciiTheme="minorEastAsia" w:hAnsiTheme="minorEastAsia" w:cstheme="minorEastAsia"/>
                <w:color w:val="auto"/>
                <w:highlight w:val="none"/>
              </w:rPr>
            </w:pPr>
            <w:r>
              <w:rPr>
                <w:rFonts w:hint="eastAsia" w:asciiTheme="minorEastAsia" w:hAnsiTheme="minorEastAsia" w:cstheme="minorEastAsia"/>
                <w:color w:val="auto"/>
                <w:sz w:val="24"/>
                <w:szCs w:val="32"/>
                <w:highlight w:val="none"/>
                <w:lang w:val="en-US" w:eastAsia="zh-CN"/>
              </w:rPr>
              <w:t>▲8.3投标人具备成熟的全外显子数据分析系统本地化能力，已支持≥5家医院全外显子本地化数据分析需求落地，需提供合作医院列表及第三方证明文件</w:t>
            </w:r>
          </w:p>
          <w:p w14:paraId="3B8F3132">
            <w:pPr>
              <w:numPr>
                <w:ilvl w:val="0"/>
                <w:numId w:val="0"/>
              </w:numPr>
              <w:spacing w:line="360" w:lineRule="auto"/>
              <w:jc w:val="both"/>
              <w:rPr>
                <w:rFonts w:hint="eastAsia" w:asciiTheme="minorEastAsia" w:hAnsiTheme="minorEastAsia" w:cstheme="minorEastAsia"/>
                <w:b/>
                <w:bCs/>
                <w:color w:val="auto"/>
                <w:sz w:val="24"/>
                <w:szCs w:val="32"/>
                <w:highlight w:val="none"/>
                <w:lang w:val="en-US" w:eastAsia="zh-CN"/>
              </w:rPr>
            </w:pPr>
            <w:r>
              <w:rPr>
                <w:rFonts w:hint="eastAsia" w:asciiTheme="minorEastAsia" w:hAnsiTheme="minorEastAsia" w:cstheme="minorEastAsia"/>
                <w:b/>
                <w:bCs/>
                <w:color w:val="auto"/>
                <w:sz w:val="24"/>
                <w:szCs w:val="32"/>
                <w:highlight w:val="none"/>
                <w:lang w:val="en-US" w:eastAsia="zh-CN"/>
              </w:rPr>
              <w:t>9.检测周期：</w:t>
            </w:r>
          </w:p>
          <w:p w14:paraId="0391908B">
            <w:pPr>
              <w:numPr>
                <w:ilvl w:val="0"/>
                <w:numId w:val="0"/>
              </w:numPr>
              <w:spacing w:line="360" w:lineRule="auto"/>
              <w:jc w:val="both"/>
              <w:rPr>
                <w:rFonts w:hint="eastAsia" w:asciiTheme="minorEastAsia" w:hAnsiTheme="minorEastAsia" w:cstheme="minorEastAsia"/>
                <w:color w:val="000000" w:themeColor="text1"/>
                <w:sz w:val="24"/>
                <w:szCs w:val="3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32"/>
                <w:highlight w:val="none"/>
                <w:lang w:val="en-US" w:eastAsia="zh-CN"/>
                <w14:textFill>
                  <w14:solidFill>
                    <w14:schemeClr w14:val="tx1"/>
                  </w14:solidFill>
                </w14:textFill>
              </w:rPr>
              <w:t>▲9.1.</w:t>
            </w:r>
            <w:r>
              <w:rPr>
                <w:rFonts w:hint="eastAsia" w:asciiTheme="minorEastAsia" w:hAnsiTheme="minorEastAsia" w:cstheme="minorEastAsia"/>
                <w:color w:val="000000" w:themeColor="text1"/>
                <w:sz w:val="24"/>
                <w:highlight w:val="none"/>
                <w14:textFill>
                  <w14:solidFill>
                    <w14:schemeClr w14:val="tx1"/>
                  </w14:solidFill>
                </w14:textFill>
              </w:rPr>
              <w:t>以样本接收完成</w:t>
            </w:r>
            <w:r>
              <w:rPr>
                <w:rFonts w:hint="eastAsia" w:asciiTheme="minorEastAsia" w:hAnsiTheme="minorEastAsia" w:cstheme="minorEastAsia"/>
                <w:color w:val="auto"/>
                <w:sz w:val="24"/>
                <w:highlight w:val="none"/>
              </w:rPr>
              <w:t>为起点，</w:t>
            </w:r>
            <w:r>
              <w:rPr>
                <w:rFonts w:hint="eastAsia" w:asciiTheme="minorEastAsia" w:hAnsiTheme="minorEastAsia" w:cstheme="minorEastAsia"/>
                <w:color w:val="auto"/>
                <w:sz w:val="24"/>
                <w:szCs w:val="32"/>
                <w:highlight w:val="none"/>
                <w:lang w:val="en-US" w:eastAsia="zh-CN"/>
              </w:rPr>
              <w:t>极速家系WES周期≤88小时检测周期的能力，遗传病产后全外≤20个工作日、产前样本≤9个工作日，需</w:t>
            </w:r>
            <w:r>
              <w:rPr>
                <w:rFonts w:hint="eastAsia" w:asciiTheme="minorEastAsia" w:hAnsiTheme="minorEastAsia" w:cstheme="minorEastAsia"/>
                <w:color w:val="000000" w:themeColor="text1"/>
                <w:sz w:val="24"/>
                <w:szCs w:val="32"/>
                <w:highlight w:val="none"/>
                <w:lang w:val="en-US" w:eastAsia="zh-CN"/>
                <w14:textFill>
                  <w14:solidFill>
                    <w14:schemeClr w14:val="tx1"/>
                  </w14:solidFill>
                </w14:textFill>
              </w:rPr>
              <w:t>提供脱敏检测报告；</w:t>
            </w:r>
          </w:p>
          <w:p w14:paraId="31F501B7">
            <w:pPr>
              <w:numPr>
                <w:ilvl w:val="-1"/>
                <w:numId w:val="0"/>
              </w:numPr>
              <w:adjustRightInd w:val="0"/>
              <w:snapToGrid w:val="0"/>
              <w:spacing w:line="360" w:lineRule="auto"/>
              <w:jc w:val="lef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cstheme="minorEastAsia"/>
                <w:b/>
                <w:bCs/>
                <w:color w:val="auto"/>
                <w:sz w:val="24"/>
                <w:highlight w:val="none"/>
                <w:lang w:val="en-US" w:eastAsia="zh-CN"/>
              </w:rPr>
              <w:t>10.服务要求：</w:t>
            </w:r>
          </w:p>
          <w:p w14:paraId="28C6FCD2">
            <w:pPr>
              <w:numPr>
                <w:ilvl w:val="0"/>
                <w:numId w:val="0"/>
              </w:numPr>
              <w:spacing w:line="360" w:lineRule="auto"/>
              <w:jc w:val="both"/>
              <w:rPr>
                <w:rFonts w:hint="eastAsia" w:asciiTheme="minorEastAsia" w:hAnsiTheme="minorEastAsia" w:cstheme="minorEastAsia"/>
                <w:sz w:val="24"/>
                <w:szCs w:val="32"/>
                <w:highlight w:val="none"/>
                <w:lang w:val="en-US" w:eastAsia="zh-CN"/>
              </w:rPr>
            </w:pPr>
            <w:r>
              <w:rPr>
                <w:rFonts w:hint="eastAsia" w:asciiTheme="minorEastAsia" w:hAnsiTheme="minorEastAsia" w:cstheme="minorEastAsia"/>
                <w:sz w:val="24"/>
                <w:szCs w:val="32"/>
                <w:highlight w:val="none"/>
                <w:lang w:val="en-US" w:eastAsia="zh-CN"/>
              </w:rPr>
              <w:t>10.1 投标人能及时响应招标方技术需求，确保2小时内到达现场，能委派专业技术人员（具备丰富的全外显子测序实验操作及数据分析能力）专职提供技术服务。</w:t>
            </w:r>
          </w:p>
          <w:p w14:paraId="51D92B8E">
            <w:pPr>
              <w:numPr>
                <w:ilvl w:val="0"/>
                <w:numId w:val="0"/>
              </w:numPr>
              <w:spacing w:line="360" w:lineRule="auto"/>
              <w:jc w:val="both"/>
              <w:rPr>
                <w:rFonts w:hint="eastAsia" w:asciiTheme="minorEastAsia" w:hAnsiTheme="minorEastAsia" w:cstheme="minorEastAsia"/>
                <w:sz w:val="24"/>
                <w:szCs w:val="32"/>
                <w:highlight w:val="none"/>
                <w:lang w:val="en-US" w:eastAsia="zh-CN"/>
              </w:rPr>
            </w:pPr>
            <w:r>
              <w:rPr>
                <w:rFonts w:hint="eastAsia" w:asciiTheme="minorEastAsia" w:hAnsiTheme="minorEastAsia" w:cstheme="minorEastAsia"/>
                <w:sz w:val="24"/>
                <w:szCs w:val="32"/>
                <w:highlight w:val="none"/>
                <w:lang w:val="en-US" w:eastAsia="zh-CN"/>
              </w:rPr>
              <w:t>10.2投标人可在样</w:t>
            </w:r>
            <w:r>
              <w:rPr>
                <w:rFonts w:hint="eastAsia" w:asciiTheme="minorEastAsia" w:hAnsiTheme="minorEastAsia" w:cstheme="minorEastAsia"/>
                <w:color w:val="auto"/>
                <w:sz w:val="24"/>
                <w:szCs w:val="32"/>
                <w:highlight w:val="none"/>
                <w:lang w:val="en-US" w:eastAsia="zh-CN"/>
              </w:rPr>
              <w:t>本送检后10个工作日内返回所要求的原始数据文件，返回数据文件类型包括：fastQ、bam、vcf、level</w:t>
            </w:r>
            <w:r>
              <w:rPr>
                <w:rFonts w:hint="eastAsia" w:asciiTheme="minorEastAsia" w:hAnsiTheme="minorEastAsia" w:cstheme="minorEastAsia"/>
                <w:sz w:val="24"/>
                <w:szCs w:val="32"/>
                <w:highlight w:val="none"/>
                <w:lang w:val="en-US" w:eastAsia="zh-CN"/>
              </w:rPr>
              <w:t>文件。数据产生后，应将数据通过快递移动硬盘或云盘自助下载等方式提给供招标方实验室，方便、快捷地拿到实验数据。所有数据应保留至少2年。</w:t>
            </w:r>
          </w:p>
          <w:p w14:paraId="10E10AB0">
            <w:pPr>
              <w:numPr>
                <w:ilvl w:val="-1"/>
                <w:numId w:val="0"/>
              </w:numPr>
              <w:spacing w:line="360" w:lineRule="auto"/>
              <w:jc w:val="both"/>
              <w:rPr>
                <w:rFonts w:hint="eastAsia" w:asciiTheme="minorEastAsia" w:hAnsiTheme="minorEastAsia" w:cstheme="minorEastAsia"/>
              </w:rPr>
            </w:pPr>
            <w:r>
              <w:rPr>
                <w:rFonts w:hint="eastAsia" w:asciiTheme="minorEastAsia" w:hAnsiTheme="minorEastAsia" w:cstheme="minorEastAsia"/>
                <w:sz w:val="24"/>
                <w:szCs w:val="32"/>
                <w:highlight w:val="none"/>
                <w:lang w:val="en-US" w:eastAsia="zh-CN"/>
              </w:rPr>
              <w:t>10.3 配合医院进行后期样本回溯，样本存储周期为半年，每半年返回样本一次。如招标方实验室存在场地限制，投标方实验室平台应为招标方实验室免费提供长期储存样本服务。</w:t>
            </w:r>
          </w:p>
          <w:p w14:paraId="71955C46">
            <w:pPr>
              <w:numPr>
                <w:ilvl w:val="-1"/>
                <w:numId w:val="0"/>
              </w:numPr>
              <w:spacing w:line="360" w:lineRule="auto"/>
              <w:jc w:val="both"/>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10.4具备遗传咨询服务，遗传咨询人员具有专业的遗传咨询证书，需提供证书复印件；并且可为院方培养遗传咨询人才，定期根据需求看展讨论会，进行线下分析；</w:t>
            </w:r>
          </w:p>
          <w:p w14:paraId="3FB65145">
            <w:pPr>
              <w:numPr>
                <w:ilvl w:val="-1"/>
                <w:numId w:val="0"/>
              </w:numPr>
              <w:spacing w:line="360" w:lineRule="auto"/>
              <w:jc w:val="both"/>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10.5科研支持：具有科研课题辅助申请、定期样本结果汇总、案例及数据挖掘、文章发表等其他科研服务能力，参与过医学相关研究并署名发表文献（IF≥10），具备相关数据分析经验，需提供证明材料。</w:t>
            </w:r>
          </w:p>
          <w:p w14:paraId="13023A20">
            <w:pPr>
              <w:numPr>
                <w:ilvl w:val="0"/>
                <w:numId w:val="0"/>
              </w:numPr>
              <w:adjustRightInd/>
              <w:snapToGrid/>
              <w:spacing w:line="500" w:lineRule="exact"/>
              <w:jc w:val="left"/>
              <w:rPr>
                <w:rFonts w:hint="eastAsia" w:asciiTheme="minorEastAsia" w:hAnsiTheme="minorEastAsia" w:cstheme="minorEastAsia"/>
                <w:b/>
                <w:bCs/>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▲10.6</w:t>
            </w:r>
            <w:r>
              <w:rPr>
                <w:rFonts w:hint="eastAsia" w:asciiTheme="minorEastAsia" w:hAnsiTheme="minorEastAsia" w:eastAsiaTheme="minorEastAsia" w:cstheme="minorEastAsia"/>
                <w:b w:val="0"/>
                <w:bCs w:val="0"/>
                <w:color w:val="auto"/>
                <w:sz w:val="24"/>
                <w:szCs w:val="24"/>
                <w:highlight w:val="none"/>
                <w:lang w:eastAsia="zh-CN"/>
              </w:rPr>
              <w:t>投标人具有参与国家级别罕见病诊疗项目经验，参与次数≥</w:t>
            </w:r>
            <w:r>
              <w:rPr>
                <w:rFonts w:hint="eastAsia" w:asciiTheme="minorEastAsia" w:hAnsiTheme="minorEastAsia" w:cstheme="minorEastAsia"/>
                <w:b w:val="0"/>
                <w:bCs w:val="0"/>
                <w:color w:val="auto"/>
                <w:sz w:val="24"/>
                <w:szCs w:val="24"/>
                <w:highlight w:val="none"/>
                <w:lang w:val="en-US" w:eastAsia="zh-CN"/>
              </w:rPr>
              <w:t>4</w:t>
            </w:r>
            <w:r>
              <w:rPr>
                <w:rFonts w:hint="eastAsia" w:asciiTheme="minorEastAsia" w:hAnsiTheme="minorEastAsia" w:eastAsiaTheme="minorEastAsia" w:cstheme="minorEastAsia"/>
                <w:b w:val="0"/>
                <w:bCs w:val="0"/>
                <w:color w:val="auto"/>
                <w:sz w:val="24"/>
                <w:szCs w:val="24"/>
                <w:highlight w:val="none"/>
                <w:lang w:eastAsia="zh-CN"/>
              </w:rPr>
              <w:t>次。</w:t>
            </w:r>
          </w:p>
          <w:p w14:paraId="2A733AC6">
            <w:pPr>
              <w:adjustRightInd w:val="0"/>
              <w:snapToGrid w:val="0"/>
              <w:spacing w:line="360" w:lineRule="auto"/>
              <w:jc w:val="left"/>
            </w:pPr>
            <w:r>
              <w:rPr>
                <w:rFonts w:hint="eastAsia" w:asciiTheme="minorEastAsia" w:hAnsiTheme="minorEastAsia" w:cstheme="minorEastAsia"/>
                <w:color w:val="auto"/>
                <w:sz w:val="24"/>
                <w:szCs w:val="24"/>
                <w:highlight w:val="none"/>
                <w:lang w:val="en-US" w:eastAsia="zh-CN"/>
              </w:rPr>
              <w:t>▲10.7 2023~2025年连续3年</w:t>
            </w:r>
            <w:r>
              <w:rPr>
                <w:rFonts w:hint="eastAsia" w:asciiTheme="minorEastAsia" w:hAnsiTheme="minorEastAsia" w:cstheme="minorEastAsia"/>
                <w:color w:val="auto"/>
                <w:sz w:val="24"/>
                <w:highlight w:val="none"/>
              </w:rPr>
              <w:t>通过国家卫生健康委临床检验中心颁发的全国遗传病基因变异高通量测序室间质量评价活动合格证书</w:t>
            </w:r>
            <w:r>
              <w:rPr>
                <w:rFonts w:hint="eastAsia" w:asciiTheme="minorEastAsia" w:hAnsiTheme="minorEastAsia" w:cstheme="minorEastAsia"/>
                <w:color w:val="auto"/>
                <w:sz w:val="24"/>
                <w:highlight w:val="none"/>
                <w:lang w:eastAsia="zh-CN"/>
              </w:rPr>
              <w:t>，遗传病高通量测序检测生物信息学分析室间质评活动</w:t>
            </w:r>
            <w:r>
              <w:rPr>
                <w:rFonts w:hint="eastAsia" w:asciiTheme="minorEastAsia" w:hAnsiTheme="minorEastAsia" w:cstheme="minorEastAsia"/>
                <w:color w:val="auto"/>
                <w:sz w:val="24"/>
                <w:highlight w:val="none"/>
              </w:rPr>
              <w:t>合格证书</w:t>
            </w:r>
            <w:r>
              <w:rPr>
                <w:rFonts w:hint="eastAsia" w:asciiTheme="minorEastAsia" w:hAnsiTheme="minorEastAsia" w:cstheme="minorEastAsia"/>
                <w:color w:val="auto"/>
                <w:sz w:val="24"/>
                <w:highlight w:val="none"/>
                <w:lang w:eastAsia="zh-CN"/>
              </w:rPr>
              <w:t>。</w:t>
            </w:r>
            <w:r>
              <w:rPr>
                <w:rFonts w:hint="eastAsia" w:asciiTheme="minorEastAsia" w:hAnsiTheme="minorEastAsia" w:cstheme="minorEastAsia"/>
                <w:color w:val="auto"/>
                <w:sz w:val="24"/>
                <w:highlight w:val="none"/>
              </w:rPr>
              <w:t>提供复印件加盖投标单位公章</w:t>
            </w:r>
            <w:r>
              <w:rPr>
                <w:rFonts w:hint="eastAsia" w:asciiTheme="minorEastAsia" w:hAnsiTheme="minorEastAsia" w:cstheme="minorEastAsia"/>
                <w:color w:val="auto"/>
                <w:sz w:val="24"/>
                <w:highlight w:val="none"/>
                <w:lang w:eastAsia="zh-CN"/>
              </w:rPr>
              <w:t>。</w:t>
            </w:r>
          </w:p>
        </w:tc>
      </w:tr>
      <w:tr w14:paraId="744A1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65" w:type="dxa"/>
          </w:tcPr>
          <w:p w14:paraId="460CE4EF">
            <w:pPr>
              <w:pStyle w:val="6"/>
            </w:pPr>
            <w:r>
              <w:t>说明</w:t>
            </w:r>
          </w:p>
        </w:tc>
        <w:tc>
          <w:tcPr>
            <w:tcW w:w="6541" w:type="dxa"/>
            <w:gridSpan w:val="2"/>
          </w:tcPr>
          <w:p w14:paraId="0EDC30CC">
            <w:pPr>
              <w:pStyle w:val="6"/>
              <w:jc w:val="left"/>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14:paraId="302F1F25">
      <w:pPr>
        <w:pStyle w:val="6"/>
      </w:pPr>
    </w:p>
    <w:p w14:paraId="385CEC3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lang w:val="en-US" w:eastAsia="zh-CN"/>
        </w:rPr>
      </w:pPr>
      <w:bookmarkStart w:id="0" w:name="_GoBack"/>
      <w:bookmarkEnd w:id="0"/>
      <w:r>
        <w:rPr>
          <w:b/>
        </w:rPr>
        <w:t>附表</w:t>
      </w:r>
      <w:r>
        <w:rPr>
          <w:rFonts w:hint="eastAsia"/>
          <w:b/>
          <w:lang w:val="en-US" w:eastAsia="zh-CN"/>
        </w:rPr>
        <w:t>二</w:t>
      </w:r>
      <w:r>
        <w:rPr>
          <w:b/>
        </w:rPr>
        <w:t>：</w:t>
      </w:r>
      <w:r>
        <w:rPr>
          <w:rFonts w:hint="eastAsia" w:ascii="宋体" w:hAnsi="宋体" w:eastAsia="宋体" w:cs="宋体"/>
          <w:color w:val="auto"/>
          <w:sz w:val="28"/>
          <w:szCs w:val="28"/>
          <w:lang w:val="en-US" w:eastAsia="zh-CN"/>
        </w:rPr>
        <w:t>线粒体环基因参数</w:t>
      </w:r>
    </w:p>
    <w:p w14:paraId="384BE2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一、目标区域：</w:t>
      </w:r>
      <w:r>
        <w:rPr>
          <w:rFonts w:hint="eastAsia" w:ascii="宋体" w:hAnsi="宋体" w:eastAsia="宋体" w:cs="宋体"/>
          <w:color w:val="auto"/>
          <w:sz w:val="24"/>
          <w:szCs w:val="24"/>
        </w:rPr>
        <w:t>线粒体基因组</w:t>
      </w:r>
      <w:r>
        <w:rPr>
          <w:rFonts w:hint="eastAsia" w:ascii="宋体" w:hAnsi="宋体" w:eastAsia="宋体" w:cs="宋体"/>
          <w:color w:val="auto"/>
          <w:sz w:val="24"/>
          <w:szCs w:val="24"/>
          <w:lang w:val="en-US" w:eastAsia="zh-CN"/>
        </w:rPr>
        <w:t>长度16569bp，目标基因37个；</w:t>
      </w:r>
    </w:p>
    <w:p w14:paraId="369A48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二、样本类型：</w:t>
      </w:r>
      <w:r>
        <w:rPr>
          <w:rFonts w:hint="eastAsia" w:ascii="宋体" w:hAnsi="宋体" w:eastAsia="宋体" w:cs="宋体"/>
          <w:color w:val="auto"/>
          <w:sz w:val="24"/>
          <w:szCs w:val="24"/>
          <w:lang w:val="en-US" w:eastAsia="zh-CN"/>
        </w:rPr>
        <w:t>外周血/尿液；</w:t>
      </w:r>
    </w:p>
    <w:p w14:paraId="13C5B7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eastAsia="宋体" w:cs="宋体"/>
          <w:b/>
          <w:bCs/>
          <w:color w:val="auto"/>
          <w:sz w:val="24"/>
          <w:szCs w:val="24"/>
          <w:lang w:val="en-US" w:eastAsia="zh-CN"/>
        </w:rPr>
        <w:t>三、测序平台：</w:t>
      </w:r>
      <w:r>
        <w:rPr>
          <w:rFonts w:hint="eastAsia" w:ascii="宋体" w:hAnsi="宋体" w:eastAsia="宋体" w:cs="宋体"/>
          <w:color w:val="auto"/>
          <w:sz w:val="24"/>
          <w:szCs w:val="24"/>
          <w:lang w:val="en-US" w:eastAsia="zh-CN"/>
        </w:rPr>
        <w:t>具备自有的二代高通量测序平台，使用的测序仪须具有医疗器械三类注册证。需提供注册证复印件、测序仪说明书以及自有证明文件。</w:t>
      </w:r>
    </w:p>
    <w:p w14:paraId="3D2A74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质控数据：</w:t>
      </w:r>
      <w:r>
        <w:rPr>
          <w:rFonts w:hint="eastAsia" w:ascii="宋体" w:hAnsi="宋体" w:eastAsia="宋体" w:cs="宋体"/>
          <w:color w:val="auto"/>
          <w:sz w:val="24"/>
          <w:szCs w:val="24"/>
        </w:rPr>
        <w:t>线粒体区域平均测序深度≥10000×；线粒体区域1000×覆盖度≥99%；</w:t>
      </w:r>
    </w:p>
    <w:p w14:paraId="3BE2BB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四、数据分析要求：</w:t>
      </w:r>
    </w:p>
    <w:p w14:paraId="42BCCE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1，线粒体环基因SNV/INDEL变异，缺失变异，检测突变率低限~1%；</w:t>
      </w:r>
    </w:p>
    <w:p w14:paraId="533482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2，使用的注释数据库需含公共数据库以及in house数据库，包括但不限于人群数据库1000genomes、ExAC、gnomAD、本地人群频率库等；疾病数据库：OMIM、ClinVar、HGMD（专业版）等；使用多种剪切预测软件，其中必须包括SpliceAI、dbscSNV、MaxEntScan等；错义突变危害预测软件：CADD、dann、SIFT、Polyphen2、MetaSVM、MetaLR、M-CAP、REVEL等。</w:t>
      </w:r>
    </w:p>
    <w:p w14:paraId="3CB8B2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lang w:val="en-US" w:eastAsia="zh-CN"/>
        </w:rPr>
        <w:t>，HGMD（专业版）付费软件提供采购发票。</w:t>
      </w:r>
    </w:p>
    <w:p w14:paraId="3698F2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lang w:val="en-US" w:eastAsia="zh-CN"/>
        </w:rPr>
        <w:t>4，具有不少于20万的中国人群、不少于4000万变异位点的本地数据库变异信息及频率，可提供云平台查询助手，需提供系统截图及彩页证明。</w:t>
      </w:r>
    </w:p>
    <w:p w14:paraId="762B91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五、检测周期：</w:t>
      </w:r>
      <w:r>
        <w:rPr>
          <w:rFonts w:hint="eastAsia" w:ascii="宋体" w:hAnsi="宋体" w:eastAsia="宋体" w:cs="宋体"/>
          <w:color w:val="auto"/>
          <w:sz w:val="24"/>
          <w:szCs w:val="24"/>
          <w:lang w:val="en-US" w:eastAsia="zh-CN"/>
        </w:rPr>
        <w:t>25个工作日；</w:t>
      </w:r>
    </w:p>
    <w:p w14:paraId="0D2866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rPr>
        <w:t>配套检测项目</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lang w:val="en-US" w:eastAsia="zh-CN"/>
        </w:rPr>
        <w:t>可提供多种变异类型验证方案，包括但不限于一代验证、CNV-seq、MLPA、qPCR、三代复杂单病（包括但不限于地中海贫血、CAH、FXS、SMA、F8、PKD1、GLA、IDS、IKBKG等），需提供脱敏报告等证明文件。</w:t>
      </w:r>
    </w:p>
    <w:p w14:paraId="319A417E">
      <w:pPr>
        <w:numPr>
          <w:ilvl w:val="0"/>
          <w:numId w:val="0"/>
        </w:numPr>
        <w:tabs>
          <w:tab w:val="left" w:pos="1050"/>
        </w:tabs>
        <w:spacing w:line="24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数据分析平台要求：</w:t>
      </w:r>
    </w:p>
    <w:p w14:paraId="5B412926">
      <w:pPr>
        <w:numPr>
          <w:ilvl w:val="0"/>
          <w:numId w:val="0"/>
        </w:num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1，需支持样本管理、上机管理、解读管理、审核管理、报告管理等系统功能，需提供系统截图；</w:t>
      </w:r>
    </w:p>
    <w:p w14:paraId="15E307D8">
      <w:pPr>
        <w:numPr>
          <w:ilvl w:val="0"/>
          <w:numId w:val="0"/>
        </w:num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▲2，需支持BCL、fastQ、VCF等不同数据格式上传分析，需提供至少两套生信分析流程，包括通用分析流程（BWA+GATK）及自研分析流程，需提供系统截图或相关证明文件。</w:t>
      </w:r>
    </w:p>
    <w:p w14:paraId="7A607D7E">
      <w:pPr>
        <w:numPr>
          <w:ilvl w:val="0"/>
          <w:numId w:val="0"/>
        </w:num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▲3，需支持实现ACMG自动评级及变异位点智能化排序功能，需提供专利或文献等证明文件。</w:t>
      </w:r>
    </w:p>
    <w:p w14:paraId="0C3A6D22">
      <w:pPr>
        <w:numPr>
          <w:ilvl w:val="0"/>
          <w:numId w:val="0"/>
        </w:num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▲4，需提供SNV/InDel、CNV、EXON_CNV、ROH、UPD、线粒体环基因、动态突变以及特殊基因（包括但不限于SMA、DMD、地中海贫血等）的可视化分析结果展示，且支持临床表型在线更新后重分析功能，需提供软件系统截图。</w:t>
      </w:r>
    </w:p>
    <w:p w14:paraId="6F035CF9">
      <w:pPr>
        <w:numPr>
          <w:ilvl w:val="0"/>
          <w:numId w:val="0"/>
        </w:numPr>
        <w:spacing w:line="360" w:lineRule="auto"/>
        <w:ind w:lef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▲5、支持用户对全外显子检测数据和报告进行在线审核，同时云平台内置</w:t>
      </w:r>
      <w:r>
        <w:rPr>
          <w:rFonts w:hint="eastAsia" w:ascii="宋体" w:hAnsi="宋体" w:eastAsia="宋体" w:cs="宋体"/>
          <w:color w:val="auto"/>
          <w:sz w:val="24"/>
          <w:szCs w:val="24"/>
          <w:highlight w:val="none"/>
        </w:rPr>
        <w:t>可辅助临床进行遗传咨询的AI智能问答助手，支持用户围绕疾病、基因及突变位点等维度进行智能问答，回答内容需提供真实的文献PMID以便于用户溯源，</w:t>
      </w:r>
      <w:r>
        <w:rPr>
          <w:rFonts w:hint="eastAsia" w:ascii="宋体" w:hAnsi="宋体" w:eastAsia="宋体" w:cs="宋体"/>
          <w:color w:val="auto"/>
          <w:sz w:val="24"/>
          <w:szCs w:val="24"/>
          <w:highlight w:val="none"/>
          <w:lang w:val="en-US" w:eastAsia="zh-CN"/>
        </w:rPr>
        <w:t>需内嵌专业疾病数据库（包括但不限于OMIM、Orphanet、GeneReviews等），</w:t>
      </w:r>
      <w:r>
        <w:rPr>
          <w:rFonts w:hint="eastAsia" w:ascii="宋体" w:hAnsi="宋体" w:eastAsia="宋体" w:cs="宋体"/>
          <w:color w:val="auto"/>
          <w:sz w:val="24"/>
          <w:szCs w:val="24"/>
          <w:highlight w:val="none"/>
        </w:rPr>
        <w:t>需提供系统截图及彩页证明。</w:t>
      </w:r>
    </w:p>
    <w:p w14:paraId="483FAA24">
      <w:pPr>
        <w:numPr>
          <w:ilvl w:val="0"/>
          <w:numId w:val="0"/>
        </w:numPr>
        <w:spacing w:line="360" w:lineRule="auto"/>
        <w:ind w:lef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可支持用户通过输入SNVs/CNVs位置信息，获得SNVs/CNVs智能化评级结果及相关证据信息，其中CNVs智能化评级结果需根据ACMG指南要求，分别展示Section1-4证据信息，相关智能化算法有公开文献支持，需提供文献原文PDF证明。</w:t>
      </w:r>
    </w:p>
    <w:p w14:paraId="0AEA722F">
      <w:pPr>
        <w:numPr>
          <w:ilvl w:val="0"/>
          <w:numId w:val="0"/>
        </w:numPr>
        <w:spacing w:line="360" w:lineRule="auto"/>
        <w:ind w:lef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▲7.可支持用户输入PMID号或上传文献PDF后进行全文智能翻译，并支持用户围绕文献原文进行智能问答，获取PS3等相关证据信息，以提高全外显子数据解读效率，</w:t>
      </w:r>
      <w:r>
        <w:rPr>
          <w:rFonts w:hint="eastAsia" w:ascii="宋体" w:hAnsi="宋体" w:eastAsia="宋体" w:cs="宋体"/>
          <w:color w:val="auto"/>
          <w:sz w:val="24"/>
          <w:szCs w:val="24"/>
          <w:highlight w:val="none"/>
        </w:rPr>
        <w:t>需提供系统截图及彩页证明。</w:t>
      </w:r>
    </w:p>
    <w:p w14:paraId="2A09FBF3">
      <w:pPr>
        <w:numPr>
          <w:ilvl w:val="0"/>
          <w:numId w:val="2"/>
        </w:numPr>
        <w:spacing w:line="360" w:lineRule="auto"/>
        <w:ind w:lef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其他</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通过202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年国家卫生健康委临床检验中心颁发的全国遗传病基因变异高通量测序室间质量评价活动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获得</w:t>
      </w:r>
      <w:r>
        <w:rPr>
          <w:rFonts w:hint="eastAsia" w:ascii="宋体" w:hAnsi="宋体" w:eastAsia="宋体" w:cs="宋体"/>
          <w:color w:val="auto"/>
          <w:sz w:val="24"/>
          <w:szCs w:val="24"/>
          <w:highlight w:val="none"/>
        </w:rPr>
        <w:t>合格证书</w:t>
      </w:r>
      <w:r>
        <w:rPr>
          <w:rFonts w:hint="eastAsia" w:ascii="宋体" w:hAnsi="宋体" w:eastAsia="宋体" w:cs="宋体"/>
          <w:color w:val="auto"/>
          <w:sz w:val="24"/>
          <w:szCs w:val="24"/>
          <w:highlight w:val="none"/>
          <w:lang w:eastAsia="zh-CN"/>
        </w:rPr>
        <w:t>。</w:t>
      </w:r>
    </w:p>
    <w:p w14:paraId="0A77BE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正文 CS 字体)">
    <w:altName w:val="宋体"/>
    <w:panose1 w:val="020B0604020202020204"/>
    <w:charset w:val="00"/>
    <w:family w:val="auto"/>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4BE61"/>
    <w:multiLevelType w:val="singleLevel"/>
    <w:tmpl w:val="9994BE61"/>
    <w:lvl w:ilvl="0" w:tentative="0">
      <w:start w:val="1"/>
      <w:numFmt w:val="decimal"/>
      <w:suff w:val="space"/>
      <w:lvlText w:val="%1."/>
      <w:lvlJc w:val="left"/>
    </w:lvl>
  </w:abstractNum>
  <w:abstractNum w:abstractNumId="1">
    <w:nsid w:val="AD8B97C0"/>
    <w:multiLevelType w:val="singleLevel"/>
    <w:tmpl w:val="AD8B97C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24C04"/>
    <w:rsid w:val="005D3C24"/>
    <w:rsid w:val="029E4844"/>
    <w:rsid w:val="0B1E17F9"/>
    <w:rsid w:val="1A8071C2"/>
    <w:rsid w:val="1C307956"/>
    <w:rsid w:val="22032E04"/>
    <w:rsid w:val="271A5FD3"/>
    <w:rsid w:val="280C48EB"/>
    <w:rsid w:val="2F6B1397"/>
    <w:rsid w:val="53D53796"/>
    <w:rsid w:val="54B6147C"/>
    <w:rsid w:val="613A5C96"/>
    <w:rsid w:val="63EE317D"/>
    <w:rsid w:val="72AC6A61"/>
    <w:rsid w:val="7A724C04"/>
    <w:rsid w:val="7EC93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120" w:after="120" w:line="360" w:lineRule="auto"/>
      <w:outlineLvl w:val="2"/>
    </w:pPr>
    <w:rPr>
      <w:rFonts w:ascii="Times New Roman" w:hAnsi="Times New Roman" w:eastAsia="宋体" w:cs="Times New Roman (正文 CS 字体)"/>
      <w:b/>
      <w:bCs/>
      <w:sz w:val="24"/>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customStyle="1" w:styleId="6">
    <w:name w:val="null3"/>
    <w:hidden/>
    <w:qFormat/>
    <w:uiPriority w:val="0"/>
    <w:rPr>
      <w:rFonts w:hint="eastAsia" w:asciiTheme="minorHAnsi" w:hAnsiTheme="minorHAnsi" w:eastAsiaTheme="minorEastAsia" w:cstheme="minorBidi"/>
      <w:lang w:val="en-US" w:eastAsia="zh-Hans"/>
    </w:rPr>
  </w:style>
  <w:style w:type="character" w:customStyle="1" w:styleId="7">
    <w:name w:val="font01"/>
    <w:basedOn w:val="5"/>
    <w:uiPriority w:val="0"/>
    <w:rPr>
      <w:rFonts w:hint="eastAsia" w:ascii="宋体" w:hAnsi="宋体" w:eastAsia="宋体" w:cs="宋体"/>
      <w:color w:val="000000"/>
      <w:sz w:val="22"/>
      <w:szCs w:val="22"/>
      <w:u w:val="none"/>
    </w:rPr>
  </w:style>
  <w:style w:type="character" w:customStyle="1" w:styleId="8">
    <w:name w:val="font21"/>
    <w:basedOn w:val="5"/>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4279</Words>
  <Characters>4808</Characters>
  <Lines>0</Lines>
  <Paragraphs>0</Paragraphs>
  <TotalTime>0</TotalTime>
  <ScaleCrop>false</ScaleCrop>
  <LinksUpToDate>false</LinksUpToDate>
  <CharactersWithSpaces>4836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2025-11-07T01:03:00Z</dcterms:created>
  <dc:creator>SHH</dc:creator>
  <cp:lastModifiedBy>伍阿坚</cp:lastModifiedBy>
  <dcterms:modified xsi:type="dcterms:W3CDTF">2026-04-14T08:53:30Z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9E2ABFDF1DAB4BB580024779EA71F95B_13</vt:lpwstr>
  </property>
  <property fmtid="{D5CDD505-2E9C-101B-9397-08002B2CF9AE}" pid="4" name="KSOTemplateDocerSaveRecord">
    <vt:lpwstr>eyJoZGlkIjoiMGFkYTIxNGRjNWRjZTg5NWIxMjI1N2QzNWQ4ZTgwYTQiLCJ1c2VySWQiOiIyMjY0NjUzODUifQ==</vt:lpwstr>
  </property>
</Properties>
</file>