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0B391">
      <w:pPr>
        <w:spacing w:line="48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遗传病携带者+新生儿基因筛查项目（YMZF250058</w:t>
      </w:r>
      <w:r>
        <w:rPr>
          <w:rFonts w:hint="eastAsia" w:ascii="方正小标宋简体" w:hAnsi="宋体" w:eastAsia="方正小标宋简体" w:cs="宋体"/>
          <w:kern w:val="0"/>
          <w:sz w:val="32"/>
          <w:szCs w:val="32"/>
          <w:lang w:val="en-US" w:eastAsia="zh-CN"/>
        </w:rPr>
        <w:t>包2</w:t>
      </w:r>
      <w:r>
        <w:rPr>
          <w:rFonts w:hint="eastAsia" w:ascii="方正小标宋简体" w:hAnsi="宋体" w:eastAsia="方正小标宋简体" w:cs="宋体"/>
          <w:kern w:val="0"/>
          <w:sz w:val="32"/>
          <w:szCs w:val="32"/>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4"/>
        <w:gridCol w:w="1828"/>
        <w:gridCol w:w="7217"/>
        <w:gridCol w:w="675"/>
        <w:gridCol w:w="988"/>
      </w:tblGrid>
      <w:tr w14:paraId="192D9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blHeader/>
        </w:trPr>
        <w:tc>
          <w:tcPr>
            <w:tcW w:w="734" w:type="dxa"/>
            <w:vAlign w:val="center"/>
          </w:tcPr>
          <w:p w14:paraId="329D98F3">
            <w:pPr>
              <w:jc w:val="center"/>
              <w:rPr>
                <w:b/>
                <w:bCs/>
                <w:sz w:val="21"/>
                <w:szCs w:val="21"/>
              </w:rPr>
            </w:pPr>
            <w:r>
              <w:rPr>
                <w:b/>
                <w:bCs/>
                <w:sz w:val="21"/>
                <w:szCs w:val="21"/>
              </w:rPr>
              <w:t>因素</w:t>
            </w:r>
          </w:p>
        </w:tc>
        <w:tc>
          <w:tcPr>
            <w:tcW w:w="9045" w:type="dxa"/>
            <w:gridSpan w:val="2"/>
            <w:vAlign w:val="center"/>
          </w:tcPr>
          <w:p w14:paraId="202CCC57">
            <w:pPr>
              <w:jc w:val="center"/>
              <w:rPr>
                <w:b/>
                <w:bCs/>
                <w:sz w:val="21"/>
                <w:szCs w:val="21"/>
              </w:rPr>
            </w:pPr>
            <w:r>
              <w:rPr>
                <w:b/>
                <w:bCs/>
                <w:sz w:val="21"/>
                <w:szCs w:val="21"/>
              </w:rPr>
              <w:t>评审标准</w:t>
            </w:r>
          </w:p>
        </w:tc>
        <w:tc>
          <w:tcPr>
            <w:tcW w:w="675" w:type="dxa"/>
            <w:vAlign w:val="center"/>
          </w:tcPr>
          <w:p w14:paraId="55B212F1">
            <w:pPr>
              <w:widowControl/>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rPr>
              <w:t>自评分</w:t>
            </w:r>
          </w:p>
        </w:tc>
        <w:tc>
          <w:tcPr>
            <w:tcW w:w="988" w:type="dxa"/>
            <w:vAlign w:val="center"/>
          </w:tcPr>
          <w:p w14:paraId="5B7A299D">
            <w:pPr>
              <w:widowControl/>
              <w:jc w:val="center"/>
              <w:textAlignment w:val="center"/>
              <w:rPr>
                <w:rFonts w:hint="eastAsia" w:ascii="宋体" w:hAnsi="宋体" w:cs="宋体"/>
                <w:b/>
                <w:bCs/>
                <w:color w:val="000000"/>
                <w:sz w:val="21"/>
                <w:szCs w:val="21"/>
              </w:rPr>
            </w:pPr>
            <w:r>
              <w:rPr>
                <w:rFonts w:hint="eastAsia" w:ascii="宋体" w:hAnsi="宋体" w:cs="宋体"/>
                <w:b/>
                <w:bCs/>
                <w:color w:val="000000"/>
                <w:sz w:val="21"/>
                <w:szCs w:val="21"/>
              </w:rPr>
              <w:t>佐证材料对应页码</w:t>
            </w:r>
          </w:p>
        </w:tc>
      </w:tr>
      <w:tr w14:paraId="5C0A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71C344F4">
            <w:pPr>
              <w:jc w:val="center"/>
              <w:rPr>
                <w:sz w:val="21"/>
                <w:szCs w:val="21"/>
              </w:rPr>
            </w:pPr>
            <w:r>
              <w:rPr>
                <w:sz w:val="21"/>
                <w:szCs w:val="21"/>
              </w:rPr>
              <w:t>技术部分</w:t>
            </w:r>
          </w:p>
        </w:tc>
        <w:tc>
          <w:tcPr>
            <w:tcW w:w="1828" w:type="dxa"/>
          </w:tcPr>
          <w:p w14:paraId="15E80790">
            <w:pPr>
              <w:jc w:val="left"/>
              <w:rPr>
                <w:sz w:val="21"/>
                <w:szCs w:val="21"/>
              </w:rPr>
            </w:pPr>
            <w:r>
              <w:rPr>
                <w:sz w:val="21"/>
                <w:szCs w:val="21"/>
              </w:rPr>
              <w:t>所提供的服务对用户需求书中的重要参数符合性 (</w:t>
            </w:r>
            <w:r>
              <w:rPr>
                <w:rFonts w:hint="eastAsia"/>
                <w:sz w:val="21"/>
                <w:szCs w:val="21"/>
              </w:rPr>
              <w:t>17</w:t>
            </w:r>
            <w:r>
              <w:rPr>
                <w:sz w:val="21"/>
                <w:szCs w:val="21"/>
              </w:rPr>
              <w:t>分)</w:t>
            </w:r>
          </w:p>
        </w:tc>
        <w:tc>
          <w:tcPr>
            <w:tcW w:w="7217" w:type="dxa"/>
          </w:tcPr>
          <w:p w14:paraId="1282266D">
            <w:pPr>
              <w:jc w:val="left"/>
              <w:rPr>
                <w:sz w:val="21"/>
                <w:szCs w:val="21"/>
              </w:rPr>
            </w:pPr>
            <w:r>
              <w:rPr>
                <w:sz w:val="21"/>
                <w:szCs w:val="21"/>
              </w:rPr>
              <w:t>全部满足技术参数中重要技术参数（带“▲”参数），</w:t>
            </w:r>
            <w:r>
              <w:rPr>
                <w:rFonts w:hint="eastAsia"/>
                <w:sz w:val="21"/>
                <w:szCs w:val="21"/>
              </w:rPr>
              <w:t>带“▲”的参数要求的得17分。每一项带“▲”的参数负偏离扣1分，扣完本项分数为止。带“▲”的参数共17个。</w:t>
            </w:r>
            <w:r>
              <w:rPr>
                <w:sz w:val="21"/>
                <w:szCs w:val="21"/>
              </w:rPr>
              <w:t>注：如有要求提供相关证明文件的，投标人应当在投标文件中提供相关证明文件复印件并加盖投标人公章，不提供不得分。</w:t>
            </w:r>
          </w:p>
        </w:tc>
        <w:tc>
          <w:tcPr>
            <w:tcW w:w="675" w:type="dxa"/>
          </w:tcPr>
          <w:p w14:paraId="65222016">
            <w:pPr>
              <w:jc w:val="left"/>
              <w:rPr>
                <w:sz w:val="21"/>
                <w:szCs w:val="21"/>
              </w:rPr>
            </w:pPr>
          </w:p>
        </w:tc>
        <w:tc>
          <w:tcPr>
            <w:tcW w:w="988" w:type="dxa"/>
          </w:tcPr>
          <w:p w14:paraId="4A8C9B5B">
            <w:pPr>
              <w:jc w:val="left"/>
              <w:rPr>
                <w:sz w:val="21"/>
                <w:szCs w:val="21"/>
              </w:rPr>
            </w:pPr>
          </w:p>
        </w:tc>
      </w:tr>
      <w:tr w14:paraId="6C77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68B1C46">
            <w:pPr>
              <w:rPr>
                <w:sz w:val="21"/>
                <w:szCs w:val="21"/>
              </w:rPr>
            </w:pPr>
          </w:p>
        </w:tc>
        <w:tc>
          <w:tcPr>
            <w:tcW w:w="1828" w:type="dxa"/>
          </w:tcPr>
          <w:p w14:paraId="03FEB806">
            <w:pPr>
              <w:jc w:val="left"/>
              <w:rPr>
                <w:sz w:val="21"/>
                <w:szCs w:val="21"/>
              </w:rPr>
            </w:pPr>
            <w:r>
              <w:rPr>
                <w:sz w:val="21"/>
                <w:szCs w:val="21"/>
              </w:rPr>
              <w:t>所提供的服务对用户需求书中的一般参数符合性 (</w:t>
            </w:r>
            <w:r>
              <w:rPr>
                <w:rFonts w:hint="eastAsia"/>
                <w:sz w:val="21"/>
                <w:szCs w:val="21"/>
              </w:rPr>
              <w:t>22</w:t>
            </w:r>
            <w:r>
              <w:rPr>
                <w:sz w:val="21"/>
                <w:szCs w:val="21"/>
              </w:rPr>
              <w:t>分)</w:t>
            </w:r>
          </w:p>
        </w:tc>
        <w:tc>
          <w:tcPr>
            <w:tcW w:w="7217" w:type="dxa"/>
          </w:tcPr>
          <w:p w14:paraId="6EFBAEA4">
            <w:pPr>
              <w:jc w:val="left"/>
              <w:rPr>
                <w:sz w:val="21"/>
                <w:szCs w:val="21"/>
              </w:rPr>
            </w:pPr>
            <w:r>
              <w:rPr>
                <w:sz w:val="21"/>
                <w:szCs w:val="21"/>
              </w:rPr>
              <w:t>全部满足技术参数中一般技术参数（非“▲”参数），</w:t>
            </w:r>
            <w:r>
              <w:rPr>
                <w:rFonts w:hint="eastAsia"/>
                <w:sz w:val="21"/>
                <w:szCs w:val="21"/>
              </w:rPr>
              <w:t>非</w:t>
            </w:r>
            <w:r>
              <w:rPr>
                <w:sz w:val="21"/>
                <w:szCs w:val="21"/>
              </w:rPr>
              <w:t>带“▲”的参数要求的得</w:t>
            </w:r>
            <w:r>
              <w:rPr>
                <w:rFonts w:hint="eastAsia"/>
                <w:sz w:val="21"/>
                <w:szCs w:val="21"/>
              </w:rPr>
              <w:t>11</w:t>
            </w:r>
            <w:r>
              <w:rPr>
                <w:sz w:val="21"/>
                <w:szCs w:val="21"/>
              </w:rPr>
              <w:t>分。每一项</w:t>
            </w:r>
            <w:r>
              <w:rPr>
                <w:rFonts w:hint="eastAsia"/>
                <w:sz w:val="21"/>
                <w:szCs w:val="21"/>
              </w:rPr>
              <w:t>非</w:t>
            </w:r>
            <w:r>
              <w:rPr>
                <w:sz w:val="21"/>
                <w:szCs w:val="21"/>
              </w:rPr>
              <w:t>带“▲”的参数负偏离扣</w:t>
            </w:r>
            <w:r>
              <w:rPr>
                <w:rFonts w:hint="eastAsia"/>
                <w:sz w:val="21"/>
                <w:szCs w:val="21"/>
              </w:rPr>
              <w:t>1</w:t>
            </w:r>
            <w:r>
              <w:rPr>
                <w:sz w:val="21"/>
                <w:szCs w:val="21"/>
              </w:rPr>
              <w:t>分，扣完本项分数为止。</w:t>
            </w:r>
            <w:r>
              <w:rPr>
                <w:rFonts w:hint="eastAsia"/>
                <w:sz w:val="21"/>
                <w:szCs w:val="21"/>
              </w:rPr>
              <w:t>非</w:t>
            </w:r>
            <w:r>
              <w:rPr>
                <w:sz w:val="21"/>
                <w:szCs w:val="21"/>
              </w:rPr>
              <w:t>带“▲”的参数共</w:t>
            </w:r>
            <w:r>
              <w:rPr>
                <w:rFonts w:hint="eastAsia"/>
                <w:sz w:val="21"/>
                <w:szCs w:val="21"/>
              </w:rPr>
              <w:t>22</w:t>
            </w:r>
            <w:r>
              <w:rPr>
                <w:sz w:val="21"/>
                <w:szCs w:val="21"/>
              </w:rPr>
              <w:t>个。注：如有要求提供相关证明文件的，投标人应当在投标文件中提供相关证明文件复印件并加盖投标人公章，不提供不得分。</w:t>
            </w:r>
          </w:p>
        </w:tc>
        <w:tc>
          <w:tcPr>
            <w:tcW w:w="675" w:type="dxa"/>
          </w:tcPr>
          <w:p w14:paraId="3684F316">
            <w:pPr>
              <w:jc w:val="left"/>
              <w:rPr>
                <w:sz w:val="21"/>
                <w:szCs w:val="21"/>
              </w:rPr>
            </w:pPr>
          </w:p>
        </w:tc>
        <w:tc>
          <w:tcPr>
            <w:tcW w:w="988" w:type="dxa"/>
          </w:tcPr>
          <w:p w14:paraId="772ABE99">
            <w:pPr>
              <w:jc w:val="left"/>
              <w:rPr>
                <w:sz w:val="21"/>
                <w:szCs w:val="21"/>
              </w:rPr>
            </w:pPr>
          </w:p>
        </w:tc>
      </w:tr>
      <w:tr w14:paraId="32C26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7033641">
            <w:pPr>
              <w:rPr>
                <w:sz w:val="21"/>
                <w:szCs w:val="21"/>
              </w:rPr>
            </w:pPr>
          </w:p>
        </w:tc>
        <w:tc>
          <w:tcPr>
            <w:tcW w:w="1828" w:type="dxa"/>
          </w:tcPr>
          <w:p w14:paraId="4DB90755">
            <w:pPr>
              <w:jc w:val="left"/>
              <w:rPr>
                <w:sz w:val="21"/>
                <w:szCs w:val="21"/>
              </w:rPr>
            </w:pPr>
            <w:r>
              <w:rPr>
                <w:sz w:val="21"/>
                <w:szCs w:val="21"/>
              </w:rPr>
              <w:t>实施方案</w:t>
            </w:r>
          </w:p>
          <w:p w14:paraId="4E68DDE3">
            <w:pPr>
              <w:jc w:val="left"/>
              <w:rPr>
                <w:sz w:val="21"/>
                <w:szCs w:val="21"/>
              </w:rPr>
            </w:pPr>
            <w:r>
              <w:rPr>
                <w:sz w:val="21"/>
                <w:szCs w:val="21"/>
              </w:rPr>
              <w:t xml:space="preserve"> (10.0分)，</w:t>
            </w:r>
          </w:p>
          <w:p w14:paraId="585E05D8">
            <w:pPr>
              <w:jc w:val="left"/>
              <w:rPr>
                <w:sz w:val="21"/>
                <w:szCs w:val="21"/>
              </w:rPr>
            </w:pPr>
            <w:r>
              <w:rPr>
                <w:sz w:val="21"/>
                <w:szCs w:val="21"/>
              </w:rPr>
              <w:t>（等次分值选择：0.0;4.0;7.0;10.0;）</w:t>
            </w:r>
          </w:p>
        </w:tc>
        <w:tc>
          <w:tcPr>
            <w:tcW w:w="7217" w:type="dxa"/>
          </w:tcPr>
          <w:p w14:paraId="1FFAE190">
            <w:pPr>
              <w:jc w:val="left"/>
              <w:rPr>
                <w:sz w:val="21"/>
                <w:szCs w:val="21"/>
              </w:rPr>
            </w:pPr>
            <w:r>
              <w:rPr>
                <w:rFonts w:ascii="Calibri" w:hAnsi="Calibri" w:cs="Calibri"/>
                <w:sz w:val="21"/>
                <w:szCs w:val="21"/>
              </w:rPr>
              <w:t>根据投标人提供的实施方案进行评审，应包含检测流程，报告反馈，数据分析，质量控制等。 （1）投标人实施方案涵盖以上要求，且能够完全满足用户需求，进度安排合理、时间点控制衔接流畅、质量管理保障措施严谨得10分； （2）投标人实施方案涵盖以上要求，大部分满足用户需求，进度安排较为完整、时间点控制基本流畅、质量管理保障措施较为严谨得7分； （3）投标人实施方案部分涵盖上述要求或不能满足大部分采购需求，进度安排、时间点控制、质量管理保障措施等存在一定的偏差，得4分。 （4）不提供实施方案不得分。</w:t>
            </w:r>
          </w:p>
        </w:tc>
        <w:tc>
          <w:tcPr>
            <w:tcW w:w="675" w:type="dxa"/>
          </w:tcPr>
          <w:p w14:paraId="74E24F99">
            <w:pPr>
              <w:jc w:val="left"/>
              <w:rPr>
                <w:sz w:val="21"/>
                <w:szCs w:val="21"/>
              </w:rPr>
            </w:pPr>
          </w:p>
        </w:tc>
        <w:tc>
          <w:tcPr>
            <w:tcW w:w="988" w:type="dxa"/>
          </w:tcPr>
          <w:p w14:paraId="4F24D6F5">
            <w:pPr>
              <w:jc w:val="left"/>
              <w:rPr>
                <w:sz w:val="21"/>
                <w:szCs w:val="21"/>
              </w:rPr>
            </w:pPr>
          </w:p>
        </w:tc>
      </w:tr>
      <w:tr w14:paraId="558B6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5CF339A9">
            <w:pPr>
              <w:rPr>
                <w:sz w:val="21"/>
                <w:szCs w:val="21"/>
              </w:rPr>
            </w:pPr>
          </w:p>
        </w:tc>
        <w:tc>
          <w:tcPr>
            <w:tcW w:w="1828" w:type="dxa"/>
          </w:tcPr>
          <w:p w14:paraId="794A463D">
            <w:pPr>
              <w:jc w:val="left"/>
              <w:rPr>
                <w:sz w:val="21"/>
                <w:szCs w:val="21"/>
              </w:rPr>
            </w:pPr>
            <w:r>
              <w:rPr>
                <w:rFonts w:hint="eastAsia" w:asciiTheme="minorEastAsia" w:hAnsiTheme="minorEastAsia" w:eastAsiaTheme="minorEastAsia" w:cstheme="minorEastAsia"/>
                <w:bCs/>
                <w:sz w:val="21"/>
                <w:szCs w:val="21"/>
              </w:rPr>
              <w:t>增值服务方案 (</w:t>
            </w:r>
            <w:r>
              <w:rPr>
                <w:rFonts w:asciiTheme="minorEastAsia" w:hAnsiTheme="minorEastAsia" w:eastAsiaTheme="minorEastAsia" w:cstheme="minorEastAsia"/>
                <w:bCs/>
                <w:sz w:val="21"/>
                <w:szCs w:val="21"/>
              </w:rPr>
              <w:t>10</w:t>
            </w:r>
            <w:r>
              <w:rPr>
                <w:rFonts w:hint="eastAsia" w:asciiTheme="minorEastAsia" w:hAnsiTheme="minorEastAsia" w:eastAsiaTheme="minorEastAsia" w:cstheme="minorEastAsia"/>
                <w:bCs/>
                <w:sz w:val="21"/>
                <w:szCs w:val="21"/>
              </w:rPr>
              <w:t>分)</w:t>
            </w:r>
          </w:p>
        </w:tc>
        <w:tc>
          <w:tcPr>
            <w:tcW w:w="7217" w:type="dxa"/>
          </w:tcPr>
          <w:p w14:paraId="72B35457">
            <w:pPr>
              <w:jc w:val="left"/>
              <w:rPr>
                <w:rFonts w:ascii="Calibri" w:hAnsi="Calibri" w:cs="Calibri"/>
                <w:sz w:val="21"/>
                <w:szCs w:val="21"/>
              </w:rPr>
            </w:pPr>
            <w:r>
              <w:rPr>
                <w:rFonts w:ascii="Calibri" w:hAnsi="Calibri" w:cs="Calibri"/>
                <w:sz w:val="21"/>
                <w:szCs w:val="21"/>
              </w:rPr>
              <w:t>投标人需针对本项目提供增值服务方案，方案内容须包括：（1）样本库/项目管理培训；（2）实验团队培训；（3）生信团队培训；（4）学术支持；（5）科研支持；（6）GCP项目合作；（7）尿液有机酸检测等。</w:t>
            </w:r>
          </w:p>
          <w:p w14:paraId="483557F3">
            <w:pPr>
              <w:jc w:val="left"/>
              <w:rPr>
                <w:rFonts w:ascii="Calibri" w:hAnsi="Calibri" w:cs="Calibri"/>
                <w:sz w:val="21"/>
                <w:szCs w:val="21"/>
              </w:rPr>
            </w:pPr>
            <w:r>
              <w:rPr>
                <w:rFonts w:ascii="Calibri" w:hAnsi="Calibri" w:cs="Calibri"/>
                <w:sz w:val="21"/>
                <w:szCs w:val="21"/>
              </w:rPr>
              <w:t>证明文件：</w:t>
            </w:r>
          </w:p>
          <w:p w14:paraId="1E91698C">
            <w:pPr>
              <w:jc w:val="left"/>
              <w:rPr>
                <w:rFonts w:ascii="Calibri" w:hAnsi="Calibri" w:cs="Calibri"/>
                <w:sz w:val="21"/>
                <w:szCs w:val="21"/>
              </w:rPr>
            </w:pPr>
            <w:r>
              <w:rPr>
                <w:rFonts w:ascii="Calibri" w:hAnsi="Calibri" w:cs="Calibri"/>
                <w:sz w:val="21"/>
                <w:szCs w:val="21"/>
              </w:rPr>
              <w:t xml:space="preserve">评审委员会根据招标文件的需求和投标文件的内容响应情况进行评分： </w:t>
            </w:r>
          </w:p>
          <w:p w14:paraId="6206BDB0">
            <w:pPr>
              <w:jc w:val="left"/>
              <w:rPr>
                <w:rFonts w:ascii="Calibri" w:hAnsi="Calibri" w:cs="Calibri"/>
                <w:sz w:val="21"/>
                <w:szCs w:val="21"/>
              </w:rPr>
            </w:pPr>
            <w:r>
              <w:rPr>
                <w:rFonts w:ascii="Calibri" w:hAnsi="Calibri" w:cs="Calibri"/>
                <w:sz w:val="21"/>
                <w:szCs w:val="21"/>
              </w:rPr>
              <w:t>1、内容满足以上</w:t>
            </w:r>
            <w:r>
              <w:rPr>
                <w:rFonts w:hint="eastAsia" w:ascii="Calibri" w:hAnsi="Calibri" w:cs="Calibri"/>
                <w:sz w:val="21"/>
                <w:szCs w:val="21"/>
              </w:rPr>
              <w:t>7</w:t>
            </w:r>
            <w:r>
              <w:rPr>
                <w:rFonts w:ascii="Calibri" w:hAnsi="Calibri" w:cs="Calibri"/>
                <w:sz w:val="21"/>
                <w:szCs w:val="21"/>
              </w:rPr>
              <w:t>项要求的，得</w:t>
            </w:r>
            <w:r>
              <w:rPr>
                <w:rFonts w:hint="eastAsia" w:ascii="Calibri" w:hAnsi="Calibri" w:cs="Calibri"/>
                <w:sz w:val="21"/>
                <w:szCs w:val="21"/>
              </w:rPr>
              <w:t>7</w:t>
            </w:r>
            <w:r>
              <w:rPr>
                <w:rFonts w:ascii="Calibri" w:hAnsi="Calibri" w:cs="Calibri"/>
                <w:sz w:val="21"/>
                <w:szCs w:val="21"/>
              </w:rPr>
              <w:t>分；内容满足4项以上要求的，得5分；内容满足任意2项要求的，得3分；内容满足以上任意</w:t>
            </w:r>
            <w:r>
              <w:rPr>
                <w:rFonts w:hint="eastAsia" w:ascii="Calibri" w:hAnsi="Calibri" w:cs="Calibri"/>
                <w:sz w:val="21"/>
                <w:szCs w:val="21"/>
              </w:rPr>
              <w:t>1</w:t>
            </w:r>
            <w:r>
              <w:rPr>
                <w:rFonts w:ascii="Calibri" w:hAnsi="Calibri" w:cs="Calibri"/>
                <w:sz w:val="21"/>
                <w:szCs w:val="21"/>
              </w:rPr>
              <w:t>项要求的，得1分；其他情况不得分。</w:t>
            </w:r>
          </w:p>
          <w:p w14:paraId="267D48E8">
            <w:pPr>
              <w:jc w:val="left"/>
              <w:rPr>
                <w:rFonts w:ascii="Calibri" w:hAnsi="Calibri" w:cs="Calibri"/>
                <w:sz w:val="21"/>
                <w:szCs w:val="21"/>
              </w:rPr>
            </w:pPr>
            <w:r>
              <w:rPr>
                <w:rFonts w:ascii="Calibri" w:hAnsi="Calibri" w:cs="Calibri"/>
                <w:sz w:val="21"/>
                <w:szCs w:val="21"/>
              </w:rPr>
              <w:t>2、在此基础上，评审委员会根据各投标人的具体响应情况按照以下评审标准进一步评审：</w:t>
            </w:r>
          </w:p>
          <w:p w14:paraId="63E097D4">
            <w:pPr>
              <w:jc w:val="left"/>
              <w:rPr>
                <w:rFonts w:ascii="Calibri" w:hAnsi="Calibri" w:cs="Calibri"/>
                <w:sz w:val="21"/>
                <w:szCs w:val="21"/>
              </w:rPr>
            </w:pPr>
            <w:r>
              <w:rPr>
                <w:rFonts w:ascii="Calibri" w:hAnsi="Calibri" w:cs="Calibri"/>
                <w:sz w:val="21"/>
                <w:szCs w:val="21"/>
              </w:rPr>
              <w:t>评审为优（方案整体科学合理、针对性强、可操作性强、条理非常清晰的）的加</w:t>
            </w:r>
            <w:r>
              <w:rPr>
                <w:rFonts w:hint="eastAsia" w:ascii="Calibri" w:hAnsi="Calibri" w:cs="Calibri"/>
                <w:sz w:val="21"/>
                <w:szCs w:val="21"/>
              </w:rPr>
              <w:t>3</w:t>
            </w:r>
            <w:r>
              <w:rPr>
                <w:rFonts w:ascii="Calibri" w:hAnsi="Calibri" w:cs="Calibri"/>
                <w:sz w:val="21"/>
                <w:szCs w:val="21"/>
              </w:rPr>
              <w:t>分；评审为良（方案整体较比科学合理、有较强针对性、有较强可操作性、比较条理清晰的）的加</w:t>
            </w:r>
            <w:r>
              <w:rPr>
                <w:rFonts w:hint="eastAsia" w:ascii="Calibri" w:hAnsi="Calibri" w:cs="Calibri"/>
                <w:sz w:val="21"/>
                <w:szCs w:val="21"/>
              </w:rPr>
              <w:t>2</w:t>
            </w:r>
            <w:r>
              <w:rPr>
                <w:rFonts w:ascii="Calibri" w:hAnsi="Calibri" w:cs="Calibri"/>
                <w:sz w:val="21"/>
                <w:szCs w:val="21"/>
              </w:rPr>
              <w:t>分；评审为中（方案整体科学合理性一般、针对性一般、可操作性一般，条理清晰度一般的）的加1分；评审为差（如不满足项目要求的）的不加分。</w:t>
            </w:r>
          </w:p>
        </w:tc>
        <w:tc>
          <w:tcPr>
            <w:tcW w:w="675" w:type="dxa"/>
          </w:tcPr>
          <w:p w14:paraId="395523E6">
            <w:pPr>
              <w:jc w:val="left"/>
              <w:rPr>
                <w:sz w:val="21"/>
                <w:szCs w:val="21"/>
              </w:rPr>
            </w:pPr>
          </w:p>
        </w:tc>
        <w:tc>
          <w:tcPr>
            <w:tcW w:w="988" w:type="dxa"/>
          </w:tcPr>
          <w:p w14:paraId="58AC4993">
            <w:pPr>
              <w:jc w:val="left"/>
              <w:rPr>
                <w:sz w:val="21"/>
                <w:szCs w:val="21"/>
              </w:rPr>
            </w:pPr>
          </w:p>
        </w:tc>
      </w:tr>
      <w:tr w14:paraId="30445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EF2955C">
            <w:pPr>
              <w:rPr>
                <w:sz w:val="21"/>
                <w:szCs w:val="21"/>
              </w:rPr>
            </w:pPr>
          </w:p>
        </w:tc>
        <w:tc>
          <w:tcPr>
            <w:tcW w:w="1828" w:type="dxa"/>
          </w:tcPr>
          <w:p w14:paraId="5DDC4E99">
            <w:pPr>
              <w:jc w:val="left"/>
              <w:rPr>
                <w:sz w:val="21"/>
                <w:szCs w:val="21"/>
              </w:rPr>
            </w:pPr>
            <w:r>
              <w:rPr>
                <w:rFonts w:asciiTheme="minorEastAsia" w:hAnsiTheme="minorEastAsia" w:eastAsiaTheme="minorEastAsia" w:cstheme="minorEastAsia"/>
                <w:bCs/>
                <w:sz w:val="21"/>
                <w:szCs w:val="21"/>
              </w:rPr>
              <w:t xml:space="preserve">售后服务方案 (10分) </w:t>
            </w:r>
          </w:p>
        </w:tc>
        <w:tc>
          <w:tcPr>
            <w:tcW w:w="7217" w:type="dxa"/>
          </w:tcPr>
          <w:p w14:paraId="6440526A">
            <w:pPr>
              <w:jc w:val="left"/>
              <w:rPr>
                <w:sz w:val="21"/>
                <w:szCs w:val="21"/>
              </w:rPr>
            </w:pPr>
            <w:r>
              <w:rPr>
                <w:rFonts w:ascii="Calibri" w:hAnsi="Calibri" w:cs="Calibri"/>
                <w:sz w:val="21"/>
                <w:szCs w:val="21"/>
              </w:rPr>
              <w:t>根据投标人提供的售后服务方案进行评审（内容至少包含①线上线下遗传咨询服务保障，②检测技术、检测结果咨询服务）：（1）供应商提供拟投入本项目的售后服务方案每包含上述两项内容中的一项，得2.5分，两项均包含得5分，不提供方案不得分。 此小项最高得5分。（2）针对上述两项内容提供的售后服务方案质量进行评价：评审为优（方案完全满足采购需求，整体科学合理、针对性强、可操作性强、条理非常清晰的）的加5分；评审为良（方案整体较比科学合理、有较强针对性、有较强可操作性、比较条理清晰的）的加3分；评审为中（方案整体科学合理性一般、针对性一般、可操作性一般，条理清晰度一般的）的加1分；评审为差（如不满足项目要求的）的不加分。</w:t>
            </w:r>
          </w:p>
        </w:tc>
        <w:tc>
          <w:tcPr>
            <w:tcW w:w="675" w:type="dxa"/>
          </w:tcPr>
          <w:p w14:paraId="76228E08">
            <w:pPr>
              <w:jc w:val="left"/>
              <w:rPr>
                <w:sz w:val="21"/>
                <w:szCs w:val="21"/>
              </w:rPr>
            </w:pPr>
          </w:p>
        </w:tc>
        <w:tc>
          <w:tcPr>
            <w:tcW w:w="988" w:type="dxa"/>
          </w:tcPr>
          <w:p w14:paraId="6100CB6F">
            <w:pPr>
              <w:jc w:val="left"/>
              <w:rPr>
                <w:sz w:val="21"/>
                <w:szCs w:val="21"/>
              </w:rPr>
            </w:pPr>
          </w:p>
        </w:tc>
      </w:tr>
      <w:tr w14:paraId="32D4F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4C6EFC8D">
            <w:pPr>
              <w:rPr>
                <w:sz w:val="21"/>
                <w:szCs w:val="21"/>
              </w:rPr>
            </w:pPr>
          </w:p>
        </w:tc>
        <w:tc>
          <w:tcPr>
            <w:tcW w:w="1828" w:type="dxa"/>
          </w:tcPr>
          <w:p w14:paraId="52941B2C">
            <w:pPr>
              <w:jc w:val="left"/>
              <w:rPr>
                <w:rFonts w:hint="eastAsia" w:asciiTheme="minorEastAsia" w:hAnsiTheme="minorEastAsia" w:eastAsiaTheme="minorEastAsia" w:cstheme="minorEastAsia"/>
                <w:bCs/>
                <w:sz w:val="21"/>
                <w:szCs w:val="21"/>
              </w:rPr>
            </w:pPr>
            <w:r>
              <w:rPr>
                <w:rFonts w:ascii="Calibri" w:hAnsi="Calibri" w:cs="Calibri"/>
                <w:sz w:val="21"/>
                <w:szCs w:val="21"/>
              </w:rPr>
              <w:t>生信分析与报告系统（</w:t>
            </w:r>
            <w:r>
              <w:rPr>
                <w:rFonts w:hint="eastAsia" w:ascii="Calibri" w:hAnsi="Calibri" w:cs="Calibri"/>
                <w:sz w:val="21"/>
                <w:szCs w:val="21"/>
              </w:rPr>
              <w:t>1</w:t>
            </w:r>
            <w:r>
              <w:rPr>
                <w:rFonts w:ascii="Calibri" w:hAnsi="Calibri" w:cs="Calibri"/>
                <w:sz w:val="21"/>
                <w:szCs w:val="21"/>
              </w:rPr>
              <w:t>分）</w:t>
            </w:r>
          </w:p>
        </w:tc>
        <w:tc>
          <w:tcPr>
            <w:tcW w:w="7217" w:type="dxa"/>
          </w:tcPr>
          <w:p w14:paraId="75993F28">
            <w:pPr>
              <w:pStyle w:val="18"/>
              <w:rPr>
                <w:rFonts w:hint="default" w:cs="Calibri"/>
                <w:sz w:val="21"/>
                <w:szCs w:val="21"/>
              </w:rPr>
            </w:pPr>
            <w:r>
              <w:rPr>
                <w:rFonts w:hint="default" w:cs="Calibri"/>
                <w:kern w:val="2"/>
                <w:sz w:val="21"/>
                <w:szCs w:val="21"/>
              </w:rPr>
              <w:t xml:space="preserve">投标人需提供“新生儿基因筛查”配套生信分析与报告系统，同时提供该系统的 《计算机软件著作权登记证书》 （软著内容需与生物信息学数据分析或临床报告生成相关）清晰复印件并加盖公章，得 </w:t>
            </w:r>
            <w:r>
              <w:rPr>
                <w:rFonts w:cs="Calibri"/>
                <w:kern w:val="2"/>
                <w:sz w:val="21"/>
                <w:szCs w:val="21"/>
              </w:rPr>
              <w:t>1</w:t>
            </w:r>
            <w:r>
              <w:rPr>
                <w:rFonts w:hint="default" w:cs="Calibri"/>
                <w:kern w:val="2"/>
                <w:sz w:val="21"/>
                <w:szCs w:val="21"/>
              </w:rPr>
              <w:t>分；未能提供任何相关证明材料的，得 0分。</w:t>
            </w:r>
          </w:p>
        </w:tc>
        <w:tc>
          <w:tcPr>
            <w:tcW w:w="675" w:type="dxa"/>
          </w:tcPr>
          <w:p w14:paraId="02C7AAA7">
            <w:pPr>
              <w:jc w:val="left"/>
              <w:rPr>
                <w:sz w:val="21"/>
                <w:szCs w:val="21"/>
              </w:rPr>
            </w:pPr>
          </w:p>
        </w:tc>
        <w:tc>
          <w:tcPr>
            <w:tcW w:w="988" w:type="dxa"/>
          </w:tcPr>
          <w:p w14:paraId="025DD915">
            <w:pPr>
              <w:jc w:val="left"/>
              <w:rPr>
                <w:sz w:val="21"/>
                <w:szCs w:val="21"/>
              </w:rPr>
            </w:pPr>
          </w:p>
        </w:tc>
      </w:tr>
      <w:tr w14:paraId="31133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24E4F8DC">
            <w:pPr>
              <w:jc w:val="center"/>
              <w:rPr>
                <w:sz w:val="21"/>
                <w:szCs w:val="21"/>
              </w:rPr>
            </w:pPr>
            <w:r>
              <w:rPr>
                <w:sz w:val="21"/>
                <w:szCs w:val="21"/>
              </w:rPr>
              <w:t>商务部分</w:t>
            </w:r>
          </w:p>
        </w:tc>
        <w:tc>
          <w:tcPr>
            <w:tcW w:w="1828" w:type="dxa"/>
          </w:tcPr>
          <w:p w14:paraId="1B7931B9">
            <w:pPr>
              <w:jc w:val="left"/>
              <w:rPr>
                <w:rFonts w:ascii="Calibri" w:hAnsi="Calibri" w:cs="Calibri"/>
                <w:sz w:val="21"/>
                <w:szCs w:val="21"/>
              </w:rPr>
            </w:pPr>
            <w:r>
              <w:rPr>
                <w:rFonts w:ascii="Calibri" w:hAnsi="Calibri" w:cs="Calibri"/>
                <w:sz w:val="21"/>
                <w:szCs w:val="21"/>
              </w:rPr>
              <w:t>实验室资质</w:t>
            </w:r>
          </w:p>
          <w:p w14:paraId="7EA7BE48">
            <w:pPr>
              <w:jc w:val="left"/>
              <w:rPr>
                <w:sz w:val="21"/>
                <w:szCs w:val="21"/>
              </w:rPr>
            </w:pPr>
            <w:r>
              <w:rPr>
                <w:rFonts w:ascii="Calibri" w:hAnsi="Calibri" w:cs="Calibri"/>
                <w:sz w:val="21"/>
                <w:szCs w:val="21"/>
              </w:rPr>
              <w:t>（5.0分）</w:t>
            </w:r>
          </w:p>
        </w:tc>
        <w:tc>
          <w:tcPr>
            <w:tcW w:w="7217" w:type="dxa"/>
          </w:tcPr>
          <w:p w14:paraId="778EB520">
            <w:pPr>
              <w:wordWrap w:val="0"/>
              <w:rPr>
                <w:rFonts w:ascii="Calibri" w:hAnsi="Calibri" w:cs="Calibri"/>
                <w:sz w:val="21"/>
                <w:szCs w:val="21"/>
              </w:rPr>
            </w:pPr>
            <w:r>
              <w:rPr>
                <w:rFonts w:ascii="Calibri" w:hAnsi="Calibri" w:cs="Calibri"/>
                <w:sz w:val="21"/>
                <w:szCs w:val="21"/>
              </w:rPr>
              <w:t>（1）</w:t>
            </w:r>
            <w:r>
              <w:rPr>
                <w:rFonts w:ascii="Calibri" w:hAnsi="Calibri" w:cs="Calibri"/>
                <w:sz w:val="21"/>
                <w:szCs w:val="21"/>
                <w:lang w:eastAsia="zh-Hans"/>
              </w:rPr>
              <w:t>投标人具有专业的遗传咨询团队，拟投入本项目成员具有遗传咨询培训相关证书，每提供1人得</w:t>
            </w:r>
            <w:r>
              <w:rPr>
                <w:rFonts w:ascii="Calibri" w:hAnsi="Calibri" w:cs="Calibri"/>
                <w:sz w:val="21"/>
                <w:szCs w:val="21"/>
              </w:rPr>
              <w:t>1</w:t>
            </w:r>
            <w:r>
              <w:rPr>
                <w:rFonts w:ascii="Calibri" w:hAnsi="Calibri" w:cs="Calibri"/>
                <w:sz w:val="21"/>
                <w:szCs w:val="21"/>
                <w:lang w:eastAsia="zh-Hans"/>
              </w:rPr>
              <w:t>分，</w:t>
            </w:r>
            <w:r>
              <w:rPr>
                <w:rFonts w:ascii="Calibri" w:hAnsi="Calibri" w:cs="Calibri"/>
                <w:sz w:val="21"/>
                <w:szCs w:val="21"/>
              </w:rPr>
              <w:t>最高得3</w:t>
            </w:r>
            <w:r>
              <w:rPr>
                <w:rFonts w:ascii="Calibri" w:hAnsi="Calibri" w:cs="Calibri"/>
                <w:sz w:val="21"/>
                <w:szCs w:val="21"/>
                <w:lang w:eastAsia="zh-Hans"/>
              </w:rPr>
              <w:t>分</w:t>
            </w:r>
            <w:r>
              <w:rPr>
                <w:rFonts w:ascii="Calibri" w:hAnsi="Calibri" w:cs="Calibri"/>
                <w:sz w:val="21"/>
                <w:szCs w:val="21"/>
              </w:rPr>
              <w:t>；（2）</w:t>
            </w:r>
            <w:r>
              <w:rPr>
                <w:rFonts w:ascii="Calibri" w:hAnsi="Calibri" w:cs="Calibri"/>
                <w:sz w:val="21"/>
                <w:szCs w:val="21"/>
                <w:lang w:eastAsia="zh-Hans"/>
              </w:rPr>
              <w:t>拟安排实验室人员具备卫生专业技术资格，临床医学检验技术中级证书的，每提供1人得1分，</w:t>
            </w:r>
            <w:r>
              <w:rPr>
                <w:rFonts w:ascii="Calibri" w:hAnsi="Calibri" w:cs="Calibri"/>
                <w:sz w:val="21"/>
                <w:szCs w:val="21"/>
              </w:rPr>
              <w:t>最高得</w:t>
            </w:r>
            <w:r>
              <w:rPr>
                <w:rFonts w:ascii="Calibri" w:hAnsi="Calibri" w:cs="Calibri"/>
                <w:sz w:val="21"/>
                <w:szCs w:val="21"/>
                <w:lang w:eastAsia="zh-Hans"/>
              </w:rPr>
              <w:t>2分</w:t>
            </w:r>
            <w:r>
              <w:rPr>
                <w:rFonts w:ascii="Calibri" w:hAnsi="Calibri" w:cs="Calibri"/>
                <w:sz w:val="21"/>
                <w:szCs w:val="21"/>
              </w:rPr>
              <w:t>。</w:t>
            </w:r>
          </w:p>
          <w:p w14:paraId="3D4E72F8">
            <w:pPr>
              <w:wordWrap w:val="0"/>
              <w:rPr>
                <w:rFonts w:ascii="Calibri" w:hAnsi="Calibri" w:cs="Calibri"/>
                <w:sz w:val="21"/>
                <w:szCs w:val="21"/>
              </w:rPr>
            </w:pPr>
            <w:r>
              <w:rPr>
                <w:rFonts w:ascii="Calibri" w:hAnsi="Calibri" w:cs="Calibri"/>
                <w:sz w:val="21"/>
                <w:szCs w:val="21"/>
              </w:rPr>
              <w:t>以上小项累计加分，最高得5分。</w:t>
            </w:r>
          </w:p>
          <w:p w14:paraId="79B91255">
            <w:pPr>
              <w:jc w:val="left"/>
              <w:rPr>
                <w:sz w:val="21"/>
                <w:szCs w:val="21"/>
              </w:rPr>
            </w:pPr>
            <w:r>
              <w:rPr>
                <w:rFonts w:ascii="Calibri" w:hAnsi="Calibri" w:cs="Calibri"/>
                <w:sz w:val="21"/>
                <w:szCs w:val="21"/>
              </w:rPr>
              <w:t>注：需提供相关证书复印件；由行业协会(机构）颁发的证书，还需提供该协会(机构）在“中国社会组织政务服务平台”的已合法登记且状态正常截图，或该协会(机构）由政府部门或行政事业单位审批的证明文件扫描件，否则不予认可，视为无效证书。</w:t>
            </w:r>
          </w:p>
        </w:tc>
        <w:tc>
          <w:tcPr>
            <w:tcW w:w="675" w:type="dxa"/>
          </w:tcPr>
          <w:p w14:paraId="6DDED6DA">
            <w:pPr>
              <w:jc w:val="left"/>
              <w:rPr>
                <w:sz w:val="21"/>
                <w:szCs w:val="21"/>
              </w:rPr>
            </w:pPr>
          </w:p>
        </w:tc>
        <w:tc>
          <w:tcPr>
            <w:tcW w:w="988" w:type="dxa"/>
          </w:tcPr>
          <w:p w14:paraId="53E23187">
            <w:pPr>
              <w:jc w:val="left"/>
              <w:rPr>
                <w:sz w:val="21"/>
                <w:szCs w:val="21"/>
              </w:rPr>
            </w:pPr>
          </w:p>
        </w:tc>
      </w:tr>
      <w:tr w14:paraId="2F8D5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16423FDA">
            <w:pPr>
              <w:jc w:val="center"/>
              <w:rPr>
                <w:sz w:val="21"/>
                <w:szCs w:val="21"/>
              </w:rPr>
            </w:pPr>
            <w:bookmarkStart w:id="0" w:name="_GoBack" w:colFirst="1" w:colLast="3"/>
          </w:p>
        </w:tc>
        <w:tc>
          <w:tcPr>
            <w:tcW w:w="1828" w:type="dxa"/>
          </w:tcPr>
          <w:p w14:paraId="5921EA88">
            <w:pPr>
              <w:pStyle w:val="18"/>
              <w:rPr>
                <w:rFonts w:hint="eastAsia" w:ascii="宋体" w:hAnsi="宋体" w:eastAsia="宋体" w:cs="宋体"/>
                <w:kern w:val="2"/>
                <w:sz w:val="21"/>
                <w:szCs w:val="21"/>
              </w:rPr>
            </w:pPr>
            <w:r>
              <w:rPr>
                <w:rFonts w:hint="eastAsia" w:ascii="宋体" w:hAnsi="宋体" w:eastAsia="宋体" w:cs="宋体"/>
                <w:kern w:val="2"/>
                <w:sz w:val="21"/>
                <w:szCs w:val="21"/>
              </w:rPr>
              <w:t xml:space="preserve">项目业绩 </w:t>
            </w:r>
          </w:p>
          <w:p w14:paraId="03A5A5D0">
            <w:pPr>
              <w:pStyle w:val="18"/>
              <w:rPr>
                <w:rFonts w:hint="eastAsia" w:ascii="宋体" w:hAnsi="宋体" w:eastAsia="宋体" w:cs="宋体"/>
                <w:sz w:val="21"/>
                <w:szCs w:val="21"/>
              </w:rPr>
            </w:pPr>
            <w:r>
              <w:rPr>
                <w:rFonts w:hint="eastAsia" w:ascii="宋体" w:hAnsi="宋体" w:eastAsia="宋体" w:cs="宋体"/>
                <w:kern w:val="2"/>
                <w:sz w:val="21"/>
                <w:szCs w:val="21"/>
              </w:rPr>
              <w:t>(5.0分)</w:t>
            </w:r>
          </w:p>
        </w:tc>
        <w:tc>
          <w:tcPr>
            <w:tcW w:w="7217" w:type="dxa"/>
          </w:tcPr>
          <w:p w14:paraId="0585758F">
            <w:pPr>
              <w:pStyle w:val="18"/>
              <w:rPr>
                <w:rFonts w:hint="eastAsia" w:ascii="宋体" w:hAnsi="宋体" w:eastAsia="宋体" w:cs="宋体"/>
                <w:sz w:val="21"/>
                <w:szCs w:val="21"/>
              </w:rPr>
            </w:pPr>
            <w:r>
              <w:rPr>
                <w:rFonts w:hint="eastAsia" w:ascii="宋体" w:hAnsi="宋体" w:eastAsia="宋体" w:cs="宋体"/>
                <w:sz w:val="21"/>
                <w:szCs w:val="21"/>
              </w:rPr>
              <w:t>根据投标人</w:t>
            </w:r>
            <w:r>
              <w:rPr>
                <w:rFonts w:hint="eastAsia" w:ascii="宋体" w:hAnsi="宋体" w:eastAsia="宋体" w:cs="宋体"/>
                <w:sz w:val="21"/>
                <w:szCs w:val="21"/>
                <w:lang w:val="en-US" w:eastAsia="zh-CN"/>
              </w:rPr>
              <w:t>2023</w:t>
            </w:r>
            <w:r>
              <w:rPr>
                <w:rFonts w:hint="eastAsia" w:ascii="宋体" w:hAnsi="宋体" w:eastAsia="宋体" w:cs="宋体"/>
                <w:sz w:val="21"/>
                <w:szCs w:val="21"/>
              </w:rPr>
              <w:t>年以来的高通量测序检测服务业绩情况进行评审：每提供一个同类项目经验得1分，最高得5分。 注：需附上合同关键页（含签订合同双方的单位名称、合同项目名称、合同概况、签订合同双方的落款盖章、签订日期的关键页）复印件作为同类业绩评价证明资料。以合同签订时间为准。</w:t>
            </w:r>
          </w:p>
        </w:tc>
        <w:tc>
          <w:tcPr>
            <w:tcW w:w="675" w:type="dxa"/>
          </w:tcPr>
          <w:p w14:paraId="4E9939FA">
            <w:pPr>
              <w:jc w:val="left"/>
              <w:rPr>
                <w:rFonts w:hint="eastAsia" w:ascii="宋体" w:hAnsi="宋体" w:eastAsia="宋体" w:cs="宋体"/>
                <w:sz w:val="21"/>
                <w:szCs w:val="21"/>
              </w:rPr>
            </w:pPr>
          </w:p>
        </w:tc>
        <w:tc>
          <w:tcPr>
            <w:tcW w:w="988" w:type="dxa"/>
          </w:tcPr>
          <w:p w14:paraId="7B4743A5">
            <w:pPr>
              <w:jc w:val="left"/>
              <w:rPr>
                <w:sz w:val="21"/>
                <w:szCs w:val="21"/>
              </w:rPr>
            </w:pPr>
          </w:p>
        </w:tc>
      </w:tr>
      <w:tr w14:paraId="7D802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5F2073CF">
            <w:pPr>
              <w:jc w:val="center"/>
              <w:rPr>
                <w:sz w:val="21"/>
                <w:szCs w:val="21"/>
              </w:rPr>
            </w:pPr>
          </w:p>
        </w:tc>
        <w:tc>
          <w:tcPr>
            <w:tcW w:w="1828" w:type="dxa"/>
          </w:tcPr>
          <w:p w14:paraId="4811A68F">
            <w:pPr>
              <w:pStyle w:val="18"/>
              <w:rPr>
                <w:rFonts w:hint="eastAsia" w:ascii="宋体" w:hAnsi="宋体" w:eastAsia="宋体" w:cs="宋体"/>
                <w:kern w:val="2"/>
                <w:sz w:val="21"/>
                <w:szCs w:val="21"/>
              </w:rPr>
            </w:pPr>
            <w:r>
              <w:rPr>
                <w:rFonts w:hint="eastAsia" w:ascii="宋体" w:hAnsi="宋体" w:eastAsia="宋体" w:cs="宋体"/>
                <w:kern w:val="2"/>
                <w:sz w:val="21"/>
                <w:szCs w:val="21"/>
              </w:rPr>
              <w:t xml:space="preserve">客户评价 </w:t>
            </w:r>
          </w:p>
          <w:p w14:paraId="6CC7ABD9">
            <w:pPr>
              <w:pStyle w:val="18"/>
              <w:rPr>
                <w:rFonts w:hint="eastAsia" w:ascii="宋体" w:hAnsi="宋体" w:eastAsia="宋体" w:cs="宋体"/>
                <w:sz w:val="21"/>
                <w:szCs w:val="21"/>
              </w:rPr>
            </w:pPr>
            <w:r>
              <w:rPr>
                <w:rFonts w:hint="eastAsia" w:ascii="宋体" w:hAnsi="宋体" w:eastAsia="宋体" w:cs="宋体"/>
                <w:kern w:val="2"/>
                <w:sz w:val="21"/>
                <w:szCs w:val="21"/>
              </w:rPr>
              <w:t>(5.0分)</w:t>
            </w:r>
          </w:p>
        </w:tc>
        <w:tc>
          <w:tcPr>
            <w:tcW w:w="7217" w:type="dxa"/>
          </w:tcPr>
          <w:p w14:paraId="0C2AE568">
            <w:pPr>
              <w:pStyle w:val="18"/>
              <w:rPr>
                <w:rFonts w:hint="eastAsia" w:ascii="宋体" w:hAnsi="宋体" w:eastAsia="宋体" w:cs="宋体"/>
                <w:sz w:val="21"/>
                <w:szCs w:val="21"/>
              </w:rPr>
            </w:pPr>
            <w:r>
              <w:rPr>
                <w:rFonts w:hint="eastAsia" w:ascii="宋体" w:hAnsi="宋体" w:eastAsia="宋体" w:cs="宋体"/>
                <w:sz w:val="21"/>
                <w:szCs w:val="21"/>
              </w:rPr>
              <w:t>投标人承接上述“高通量测序检测服务”，得到客户“满意”或“非常满意”或相当于类似评价（评分制90分以上）的，每个评价得1分，本项最高5分，无提供的不得分。 注：提供客户出具的评价材料复印件加盖公章，同一单位具有多份评价的不重复计分。</w:t>
            </w:r>
          </w:p>
        </w:tc>
        <w:tc>
          <w:tcPr>
            <w:tcW w:w="675" w:type="dxa"/>
          </w:tcPr>
          <w:p w14:paraId="0AC91209">
            <w:pPr>
              <w:jc w:val="left"/>
              <w:rPr>
                <w:rFonts w:hint="eastAsia" w:ascii="宋体" w:hAnsi="宋体" w:eastAsia="宋体" w:cs="宋体"/>
                <w:sz w:val="21"/>
                <w:szCs w:val="21"/>
              </w:rPr>
            </w:pPr>
          </w:p>
        </w:tc>
        <w:tc>
          <w:tcPr>
            <w:tcW w:w="988" w:type="dxa"/>
          </w:tcPr>
          <w:p w14:paraId="169D6AE5">
            <w:pPr>
              <w:jc w:val="left"/>
              <w:rPr>
                <w:sz w:val="21"/>
                <w:szCs w:val="21"/>
              </w:rPr>
            </w:pPr>
          </w:p>
        </w:tc>
      </w:tr>
      <w:bookmarkEnd w:id="0"/>
      <w:tr w14:paraId="16E0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1587AADB">
            <w:pPr>
              <w:jc w:val="center"/>
              <w:rPr>
                <w:sz w:val="21"/>
                <w:szCs w:val="21"/>
              </w:rPr>
            </w:pPr>
            <w:r>
              <w:rPr>
                <w:sz w:val="21"/>
                <w:szCs w:val="21"/>
              </w:rPr>
              <w:t>投标报价</w:t>
            </w:r>
          </w:p>
        </w:tc>
        <w:tc>
          <w:tcPr>
            <w:tcW w:w="1828" w:type="dxa"/>
          </w:tcPr>
          <w:p w14:paraId="43AC0472">
            <w:pPr>
              <w:jc w:val="left"/>
              <w:rPr>
                <w:sz w:val="21"/>
                <w:szCs w:val="21"/>
              </w:rPr>
            </w:pPr>
            <w:r>
              <w:rPr>
                <w:sz w:val="21"/>
                <w:szCs w:val="21"/>
              </w:rPr>
              <w:t>投标报价得分 (</w:t>
            </w:r>
            <w:r>
              <w:rPr>
                <w:rFonts w:hint="eastAsia"/>
                <w:sz w:val="21"/>
                <w:szCs w:val="21"/>
              </w:rPr>
              <w:t>15</w:t>
            </w:r>
            <w:r>
              <w:rPr>
                <w:sz w:val="21"/>
                <w:szCs w:val="21"/>
              </w:rPr>
              <w:t>.0分)</w:t>
            </w:r>
          </w:p>
        </w:tc>
        <w:tc>
          <w:tcPr>
            <w:tcW w:w="7217" w:type="dxa"/>
          </w:tcPr>
          <w:p w14:paraId="03E71C3D">
            <w:pPr>
              <w:jc w:val="left"/>
              <w:rPr>
                <w:sz w:val="21"/>
                <w:szCs w:val="21"/>
              </w:rPr>
            </w:pPr>
            <w:r>
              <w:rPr>
                <w:rFonts w:hint="eastAsia" w:asciiTheme="minorEastAsia" w:hAnsiTheme="minorEastAsia" w:eastAsiaTheme="minorEastAsia" w:cstheme="minorEastAsia"/>
                <w:bCs/>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675" w:type="dxa"/>
          </w:tcPr>
          <w:p w14:paraId="2E577509">
            <w:pPr>
              <w:jc w:val="left"/>
              <w:rPr>
                <w:sz w:val="21"/>
                <w:szCs w:val="21"/>
              </w:rPr>
            </w:pPr>
          </w:p>
        </w:tc>
        <w:tc>
          <w:tcPr>
            <w:tcW w:w="988" w:type="dxa"/>
          </w:tcPr>
          <w:p w14:paraId="49976D09">
            <w:pPr>
              <w:jc w:val="left"/>
              <w:rPr>
                <w:sz w:val="21"/>
                <w:szCs w:val="21"/>
              </w:rPr>
            </w:pPr>
          </w:p>
        </w:tc>
      </w:tr>
      <w:tr w14:paraId="32A18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79" w:type="dxa"/>
            <w:gridSpan w:val="3"/>
            <w:vAlign w:val="center"/>
          </w:tcPr>
          <w:p w14:paraId="7B01C916">
            <w:pPr>
              <w:jc w:val="center"/>
              <w:rPr>
                <w:sz w:val="21"/>
                <w:szCs w:val="21"/>
              </w:rPr>
            </w:pPr>
            <w:r>
              <w:rPr>
                <w:rFonts w:hint="eastAsia"/>
                <w:sz w:val="21"/>
                <w:szCs w:val="21"/>
              </w:rPr>
              <w:t>合计</w:t>
            </w:r>
          </w:p>
        </w:tc>
        <w:tc>
          <w:tcPr>
            <w:tcW w:w="675" w:type="dxa"/>
            <w:vAlign w:val="center"/>
          </w:tcPr>
          <w:p w14:paraId="1FB734DA">
            <w:pPr>
              <w:jc w:val="center"/>
              <w:rPr>
                <w:sz w:val="21"/>
                <w:szCs w:val="21"/>
              </w:rPr>
            </w:pPr>
          </w:p>
        </w:tc>
        <w:tc>
          <w:tcPr>
            <w:tcW w:w="988" w:type="dxa"/>
            <w:vAlign w:val="center"/>
          </w:tcPr>
          <w:p w14:paraId="2A1742EE">
            <w:pPr>
              <w:jc w:val="center"/>
              <w:rPr>
                <w:sz w:val="21"/>
                <w:szCs w:val="21"/>
              </w:rPr>
            </w:pPr>
          </w:p>
        </w:tc>
      </w:tr>
    </w:tbl>
    <w:p w14:paraId="53B502E6">
      <w:pPr>
        <w:spacing w:line="480" w:lineRule="exact"/>
        <w:jc w:val="center"/>
        <w:rPr>
          <w:rFonts w:hint="eastAsia" w:ascii="方正小标宋简体" w:hAnsi="宋体" w:eastAsia="方正小标宋简体" w:cs="宋体"/>
          <w:kern w:val="0"/>
          <w:sz w:val="36"/>
          <w:szCs w:val="36"/>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9F7A">
    <w:pPr>
      <w:spacing w:line="480" w:lineRule="exact"/>
      <w:jc w:val="center"/>
    </w:pPr>
    <w:r>
      <w:rPr>
        <w:rFonts w:hint="eastAsia"/>
      </w:rPr>
      <w:t>专家签名：                                             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9137">
    <w:pPr>
      <w:pStyle w:val="7"/>
      <w:pBdr>
        <w:bottom w:val="none" w:color="auto" w:sz="0" w:space="1"/>
      </w:pBdr>
      <w:spacing w:line="52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713"/>
    <w:rsid w:val="00047B1C"/>
    <w:rsid w:val="00066F68"/>
    <w:rsid w:val="000960AD"/>
    <w:rsid w:val="000A0ABC"/>
    <w:rsid w:val="00137CD2"/>
    <w:rsid w:val="00143B27"/>
    <w:rsid w:val="001535F6"/>
    <w:rsid w:val="00154B1A"/>
    <w:rsid w:val="00161E8A"/>
    <w:rsid w:val="00162000"/>
    <w:rsid w:val="00162E1F"/>
    <w:rsid w:val="00172A27"/>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D03DF"/>
    <w:rsid w:val="002D7599"/>
    <w:rsid w:val="002F21B9"/>
    <w:rsid w:val="00310E38"/>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46258"/>
    <w:rsid w:val="00474FC2"/>
    <w:rsid w:val="00476B5C"/>
    <w:rsid w:val="00490549"/>
    <w:rsid w:val="00497878"/>
    <w:rsid w:val="004C1423"/>
    <w:rsid w:val="0050581E"/>
    <w:rsid w:val="00513ECE"/>
    <w:rsid w:val="00517920"/>
    <w:rsid w:val="005243A5"/>
    <w:rsid w:val="00526DC0"/>
    <w:rsid w:val="00530482"/>
    <w:rsid w:val="00533958"/>
    <w:rsid w:val="00556D62"/>
    <w:rsid w:val="00566ADB"/>
    <w:rsid w:val="0057136E"/>
    <w:rsid w:val="00574127"/>
    <w:rsid w:val="00577582"/>
    <w:rsid w:val="00592401"/>
    <w:rsid w:val="00593ED4"/>
    <w:rsid w:val="0059422A"/>
    <w:rsid w:val="005B20CF"/>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8536A"/>
    <w:rsid w:val="008B1551"/>
    <w:rsid w:val="008D64C2"/>
    <w:rsid w:val="008F5A43"/>
    <w:rsid w:val="00903484"/>
    <w:rsid w:val="009046F1"/>
    <w:rsid w:val="00904DA4"/>
    <w:rsid w:val="00914218"/>
    <w:rsid w:val="00915ACA"/>
    <w:rsid w:val="0092285C"/>
    <w:rsid w:val="009266C7"/>
    <w:rsid w:val="00931206"/>
    <w:rsid w:val="00937C0C"/>
    <w:rsid w:val="009B325E"/>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B18BC"/>
    <w:rsid w:val="00AC2F3D"/>
    <w:rsid w:val="00AC36FB"/>
    <w:rsid w:val="00AC3EE2"/>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2E0F"/>
    <w:rsid w:val="00F834A9"/>
    <w:rsid w:val="00F92EB2"/>
    <w:rsid w:val="00FD5302"/>
    <w:rsid w:val="00FE7A31"/>
    <w:rsid w:val="02340CEA"/>
    <w:rsid w:val="06085010"/>
    <w:rsid w:val="069D376A"/>
    <w:rsid w:val="06AA71FC"/>
    <w:rsid w:val="076A3E76"/>
    <w:rsid w:val="07EF0236"/>
    <w:rsid w:val="085D7EC7"/>
    <w:rsid w:val="08903B99"/>
    <w:rsid w:val="09272E13"/>
    <w:rsid w:val="094D2134"/>
    <w:rsid w:val="0A655802"/>
    <w:rsid w:val="0A8B1561"/>
    <w:rsid w:val="0B29385D"/>
    <w:rsid w:val="0BB66D16"/>
    <w:rsid w:val="0C6D2950"/>
    <w:rsid w:val="0D8A7B44"/>
    <w:rsid w:val="0EE35194"/>
    <w:rsid w:val="0F1F0A85"/>
    <w:rsid w:val="0F5457FA"/>
    <w:rsid w:val="0FC22C67"/>
    <w:rsid w:val="10BB6702"/>
    <w:rsid w:val="11C955BB"/>
    <w:rsid w:val="12492775"/>
    <w:rsid w:val="129E6898"/>
    <w:rsid w:val="136646D4"/>
    <w:rsid w:val="13EC5F71"/>
    <w:rsid w:val="13F27D2F"/>
    <w:rsid w:val="14D342B9"/>
    <w:rsid w:val="155434D9"/>
    <w:rsid w:val="15810270"/>
    <w:rsid w:val="15992D7D"/>
    <w:rsid w:val="1649343A"/>
    <w:rsid w:val="16550F32"/>
    <w:rsid w:val="16A135AF"/>
    <w:rsid w:val="16EA4CA9"/>
    <w:rsid w:val="16EC4928"/>
    <w:rsid w:val="17697775"/>
    <w:rsid w:val="17841624"/>
    <w:rsid w:val="17FE273C"/>
    <w:rsid w:val="19341FBA"/>
    <w:rsid w:val="1AFA79D1"/>
    <w:rsid w:val="1B202914"/>
    <w:rsid w:val="1D2D666C"/>
    <w:rsid w:val="1D3075F1"/>
    <w:rsid w:val="1F197DC3"/>
    <w:rsid w:val="1F8E2953"/>
    <w:rsid w:val="1FA80F91"/>
    <w:rsid w:val="20542568"/>
    <w:rsid w:val="2154483D"/>
    <w:rsid w:val="21963960"/>
    <w:rsid w:val="231A0926"/>
    <w:rsid w:val="239D1036"/>
    <w:rsid w:val="247F0152"/>
    <w:rsid w:val="2496235F"/>
    <w:rsid w:val="25BD0EF9"/>
    <w:rsid w:val="268D24CB"/>
    <w:rsid w:val="26DC7908"/>
    <w:rsid w:val="26EB55DC"/>
    <w:rsid w:val="27B37D2F"/>
    <w:rsid w:val="27BC1450"/>
    <w:rsid w:val="28906419"/>
    <w:rsid w:val="29061681"/>
    <w:rsid w:val="29346F27"/>
    <w:rsid w:val="2A5C0989"/>
    <w:rsid w:val="2ACC15C7"/>
    <w:rsid w:val="2B0748A3"/>
    <w:rsid w:val="2CA8783B"/>
    <w:rsid w:val="2DD84003"/>
    <w:rsid w:val="2F945C9C"/>
    <w:rsid w:val="3073310C"/>
    <w:rsid w:val="30F73365"/>
    <w:rsid w:val="311473FB"/>
    <w:rsid w:val="31C24CE3"/>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CD94971"/>
    <w:rsid w:val="3CDD110F"/>
    <w:rsid w:val="3D494F99"/>
    <w:rsid w:val="3DEF482D"/>
    <w:rsid w:val="41300182"/>
    <w:rsid w:val="415F13B8"/>
    <w:rsid w:val="42557F64"/>
    <w:rsid w:val="4302007D"/>
    <w:rsid w:val="44B7644A"/>
    <w:rsid w:val="44C60C63"/>
    <w:rsid w:val="44D64BCA"/>
    <w:rsid w:val="44ED1B2D"/>
    <w:rsid w:val="483F7F95"/>
    <w:rsid w:val="484F022F"/>
    <w:rsid w:val="491A4480"/>
    <w:rsid w:val="49380563"/>
    <w:rsid w:val="4B143107"/>
    <w:rsid w:val="4C7A2888"/>
    <w:rsid w:val="4CC151FB"/>
    <w:rsid w:val="4CDF25AC"/>
    <w:rsid w:val="4D9D6E4B"/>
    <w:rsid w:val="4E2C224E"/>
    <w:rsid w:val="501C4ED5"/>
    <w:rsid w:val="51656219"/>
    <w:rsid w:val="52920AC8"/>
    <w:rsid w:val="532219F2"/>
    <w:rsid w:val="532D3606"/>
    <w:rsid w:val="54260C04"/>
    <w:rsid w:val="54AF439E"/>
    <w:rsid w:val="56937118"/>
    <w:rsid w:val="56E2471A"/>
    <w:rsid w:val="57204800"/>
    <w:rsid w:val="57503424"/>
    <w:rsid w:val="578C7052"/>
    <w:rsid w:val="597466A4"/>
    <w:rsid w:val="5B237E93"/>
    <w:rsid w:val="5C2B06C5"/>
    <w:rsid w:val="5C533E08"/>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9E7514E"/>
    <w:rsid w:val="6AB06D96"/>
    <w:rsid w:val="6AD12B4E"/>
    <w:rsid w:val="6CBC665B"/>
    <w:rsid w:val="6D8A74C3"/>
    <w:rsid w:val="6DDA2CA0"/>
    <w:rsid w:val="71DA42DA"/>
    <w:rsid w:val="72AE42B2"/>
    <w:rsid w:val="73E752B4"/>
    <w:rsid w:val="743465A3"/>
    <w:rsid w:val="74932C46"/>
    <w:rsid w:val="754C03FE"/>
    <w:rsid w:val="7646191B"/>
    <w:rsid w:val="77050A54"/>
    <w:rsid w:val="773A7C2A"/>
    <w:rsid w:val="77AE7BE8"/>
    <w:rsid w:val="78360DC6"/>
    <w:rsid w:val="789D1A6F"/>
    <w:rsid w:val="79804A8A"/>
    <w:rsid w:val="7A10646B"/>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560" w:lineRule="exact"/>
      <w:ind w:firstLine="630" w:firstLineChars="200"/>
    </w:pPr>
    <w:rPr>
      <w:rFonts w:eastAsia="仿宋_GB2312" w:cs="仿宋_GB2312"/>
      <w:spacing w:val="-6"/>
      <w:sz w:val="32"/>
      <w:szCs w:val="32"/>
    </w:rPr>
  </w:style>
  <w:style w:type="paragraph" w:customStyle="1" w:styleId="3">
    <w:name w:val="Default"/>
    <w:next w:val="1"/>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5">
    <w:name w:val="Plain Text"/>
    <w:basedOn w:val="1"/>
    <w:link w:val="17"/>
    <w:unhideWhenUsed/>
    <w:qFormat/>
    <w:uiPriority w:val="0"/>
    <w:rPr>
      <w:rFonts w:ascii="宋体" w:hAnsi="Courier New" w:cstheme="minorBidi"/>
      <w:szCs w:val="22"/>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纯文本 Char"/>
    <w:basedOn w:val="11"/>
    <w:qFormat/>
    <w:locked/>
    <w:uiPriority w:val="0"/>
    <w:rPr>
      <w:rFonts w:ascii="宋体" w:hAnsi="Courier New" w:eastAsia="宋体"/>
    </w:rPr>
  </w:style>
  <w:style w:type="character" w:customStyle="1" w:styleId="17">
    <w:name w:val="纯文本 字符"/>
    <w:basedOn w:val="11"/>
    <w:link w:val="5"/>
    <w:semiHidden/>
    <w:qFormat/>
    <w:uiPriority w:val="99"/>
    <w:rPr>
      <w:rFonts w:ascii="宋体" w:hAnsi="Courier New" w:eastAsia="宋体" w:cs="Courier New"/>
      <w:szCs w:val="21"/>
    </w:rPr>
  </w:style>
  <w:style w:type="paragraph" w:customStyle="1" w:styleId="18">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2063</Words>
  <Characters>2135</Characters>
  <Lines>82</Lines>
  <Paragraphs>47</Paragraphs>
  <TotalTime>0</TotalTime>
  <ScaleCrop>false</ScaleCrop>
  <LinksUpToDate>false</LinksUpToDate>
  <CharactersWithSpaces>2156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2026-04-15T03:07:00Z</dcterms:created>
  <dc:creator>倪良军</dc:creator>
  <cp:lastModifiedBy>伍阿坚</cp:lastModifiedBy>
  <cp:lastPrinted>2025-12-04T09:07:00Z</cp:lastPrinted>
  <dcterms:modified xsi:type="dcterms:W3CDTF">2026-04-15T08:40:57Z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D0FABE10E9D34EFDB33439490FB72F63_13</vt:lpwstr>
  </property>
</Properties>
</file>