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67E42">
      <w:pPr>
        <w:pStyle w:val="6"/>
        <w:jc w:val="center"/>
        <w:outlineLvl w:val="1"/>
        <w:rPr>
          <w:rFonts w:hint="eastAsia" w:asciiTheme="minorEastAsia" w:hAnsiTheme="minorEastAsia" w:eastAsiaTheme="minorEastAsia" w:cstheme="minorEastAsia"/>
          <w:b w:val="0"/>
          <w:bCs/>
        </w:rPr>
      </w:pPr>
      <w:bookmarkStart w:id="8" w:name="_GoBack"/>
      <w:bookmarkEnd w:id="8"/>
      <w:r>
        <w:rPr>
          <w:rFonts w:hint="eastAsia" w:asciiTheme="minorEastAsia" w:hAnsiTheme="minorEastAsia" w:eastAsiaTheme="minorEastAsia" w:cstheme="minorEastAsia"/>
          <w:b w:val="0"/>
          <w:bCs/>
          <w:sz w:val="36"/>
        </w:rPr>
        <w:t>遗传病携带者及新生儿基因筛查采购需求</w:t>
      </w:r>
    </w:p>
    <w:p w14:paraId="5C94BCA3">
      <w:pPr>
        <w:pStyle w:val="6"/>
        <w:outlineLvl w:val="2"/>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sz w:val="28"/>
        </w:rPr>
        <w:t>一、项目概况：</w:t>
      </w:r>
    </w:p>
    <w:p w14:paraId="10E5D525">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color w:val="222222"/>
          <w:sz w:val="24"/>
        </w:rPr>
        <w:t>服务要求：</w:t>
      </w:r>
    </w:p>
    <w:p w14:paraId="104DB6B3">
      <w:pPr>
        <w:pStyle w:val="6"/>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color w:val="222222"/>
          <w:sz w:val="24"/>
        </w:rPr>
        <w:t>（一）检测服务内容及服务收费规定</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50"/>
        <w:gridCol w:w="2685"/>
        <w:gridCol w:w="1695"/>
        <w:gridCol w:w="1410"/>
      </w:tblGrid>
      <w:tr w14:paraId="3216B4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0"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top"/>
          </w:tcPr>
          <w:p w14:paraId="210D5ED1">
            <w:pPr>
              <w:pStyle w:val="6"/>
              <w:jc w:val="center"/>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sz w:val="24"/>
              </w:rPr>
              <w:t>采购内容</w:t>
            </w:r>
          </w:p>
        </w:tc>
        <w:tc>
          <w:tcPr>
            <w:tcW w:w="2685" w:type="dxa"/>
            <w:tcBorders>
              <w:top w:val="single" w:color="000000" w:sz="4" w:space="0"/>
              <w:left w:val="nil"/>
              <w:bottom w:val="single" w:color="auto" w:sz="4" w:space="0"/>
              <w:right w:val="single" w:color="000000" w:sz="4" w:space="0"/>
            </w:tcBorders>
            <w:tcMar>
              <w:top w:w="0" w:type="dxa"/>
              <w:left w:w="0" w:type="dxa"/>
              <w:bottom w:w="0" w:type="dxa"/>
              <w:right w:w="0" w:type="dxa"/>
            </w:tcMar>
            <w:vAlign w:val="top"/>
          </w:tcPr>
          <w:p w14:paraId="687298F0">
            <w:pPr>
              <w:pStyle w:val="6"/>
              <w:jc w:val="center"/>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sz w:val="24"/>
              </w:rPr>
              <w:t>检测服务分项</w:t>
            </w:r>
          </w:p>
        </w:tc>
        <w:tc>
          <w:tcPr>
            <w:tcW w:w="1695" w:type="dxa"/>
            <w:tcBorders>
              <w:top w:val="single" w:color="000000" w:sz="4" w:space="0"/>
              <w:left w:val="nil"/>
              <w:bottom w:val="single" w:color="auto" w:sz="4" w:space="0"/>
              <w:right w:val="single" w:color="000000" w:sz="4" w:space="0"/>
            </w:tcBorders>
            <w:tcMar>
              <w:top w:w="0" w:type="dxa"/>
              <w:left w:w="0" w:type="dxa"/>
              <w:bottom w:w="0" w:type="dxa"/>
              <w:right w:w="0" w:type="dxa"/>
            </w:tcMar>
            <w:vAlign w:val="top"/>
          </w:tcPr>
          <w:p w14:paraId="5DAA67A8">
            <w:pPr>
              <w:pStyle w:val="6"/>
              <w:jc w:val="center"/>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sz w:val="24"/>
              </w:rPr>
              <w:t>检测服务分项的</w:t>
            </w:r>
          </w:p>
          <w:p w14:paraId="0FD56153">
            <w:pPr>
              <w:pStyle w:val="6"/>
              <w:jc w:val="center"/>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sz w:val="24"/>
              </w:rPr>
              <w:t>基准单价</w:t>
            </w:r>
          </w:p>
        </w:tc>
        <w:tc>
          <w:tcPr>
            <w:tcW w:w="1410" w:type="dxa"/>
            <w:tcBorders>
              <w:top w:val="single" w:color="000000" w:sz="4" w:space="0"/>
              <w:left w:val="nil"/>
              <w:bottom w:val="single" w:color="auto" w:sz="4" w:space="0"/>
              <w:right w:val="single" w:color="000000" w:sz="4" w:space="0"/>
            </w:tcBorders>
            <w:tcMar>
              <w:top w:w="0" w:type="dxa"/>
              <w:left w:w="0" w:type="dxa"/>
              <w:bottom w:w="0" w:type="dxa"/>
              <w:right w:w="0" w:type="dxa"/>
            </w:tcMar>
            <w:vAlign w:val="top"/>
          </w:tcPr>
          <w:p w14:paraId="1DBB8534">
            <w:pPr>
              <w:pStyle w:val="6"/>
              <w:jc w:val="center"/>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sz w:val="24"/>
              </w:rPr>
              <w:t>需求数量</w:t>
            </w:r>
          </w:p>
        </w:tc>
      </w:tr>
      <w:tr w14:paraId="012CD3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0"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D7CD19">
            <w:pPr>
              <w:pStyle w:val="6"/>
              <w:jc w:val="center"/>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遗传病携带者筛查</w:t>
            </w:r>
            <w:r>
              <w:rPr>
                <w:rFonts w:hint="eastAsia" w:asciiTheme="minorEastAsia" w:hAnsiTheme="minorEastAsia" w:eastAsiaTheme="minorEastAsia" w:cstheme="minorEastAsia"/>
                <w:b w:val="0"/>
                <w:bCs/>
                <w:sz w:val="24"/>
                <w:lang w:val="en-US" w:eastAsia="zh-Hans"/>
              </w:rPr>
              <w:t>项目</w:t>
            </w:r>
          </w:p>
        </w:tc>
        <w:tc>
          <w:tcPr>
            <w:tcW w:w="26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p w14:paraId="40CE8CD3">
            <w:pPr>
              <w:pStyle w:val="6"/>
              <w:jc w:val="center"/>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单基因遗传病携带者筛查（100-200种）</w:t>
            </w:r>
          </w:p>
        </w:tc>
        <w:tc>
          <w:tcPr>
            <w:tcW w:w="169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p w14:paraId="12CCC0E7">
            <w:pPr>
              <w:pStyle w:val="6"/>
              <w:jc w:val="center"/>
              <w:rPr>
                <w:rFonts w:hint="eastAsia" w:asciiTheme="minorEastAsia" w:hAnsiTheme="minorEastAsia" w:eastAsiaTheme="minorEastAsia" w:cstheme="minorEastAsia"/>
                <w:b w:val="0"/>
                <w:bCs/>
                <w:sz w:val="24"/>
              </w:rPr>
            </w:pPr>
          </w:p>
        </w:tc>
        <w:tc>
          <w:tcPr>
            <w:tcW w:w="14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p w14:paraId="2B76E9B6">
            <w:pPr>
              <w:pStyle w:val="6"/>
              <w:jc w:val="center"/>
              <w:rPr>
                <w:rFonts w:hint="eastAsia" w:asciiTheme="minorEastAsia" w:hAnsiTheme="minorEastAsia" w:eastAsiaTheme="minorEastAsia" w:cstheme="minorEastAsia"/>
                <w:b w:val="0"/>
                <w:bCs/>
                <w:sz w:val="24"/>
              </w:rPr>
            </w:pPr>
          </w:p>
        </w:tc>
      </w:tr>
      <w:tr w14:paraId="699E2B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0" w:type="dxa"/>
            <w:vMerge w:val="continue"/>
            <w:tcBorders>
              <w:top w:val="single" w:color="auto" w:sz="4" w:space="0"/>
              <w:left w:val="single" w:color="auto" w:sz="4" w:space="0"/>
              <w:bottom w:val="single" w:color="auto" w:sz="4" w:space="0"/>
              <w:right w:val="single" w:color="auto" w:sz="4" w:space="0"/>
            </w:tcBorders>
          </w:tcPr>
          <w:p w14:paraId="07DB87DE">
            <w:pPr>
              <w:pStyle w:val="6"/>
              <w:jc w:val="center"/>
              <w:rPr>
                <w:rFonts w:hint="eastAsia" w:asciiTheme="minorEastAsia" w:hAnsiTheme="minorEastAsia" w:eastAsiaTheme="minorEastAsia" w:cstheme="minorEastAsia"/>
                <w:b w:val="0"/>
                <w:bCs/>
                <w:sz w:val="24"/>
              </w:rPr>
            </w:pPr>
          </w:p>
        </w:tc>
        <w:tc>
          <w:tcPr>
            <w:tcW w:w="26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p w14:paraId="38CFC4CD">
            <w:pPr>
              <w:pStyle w:val="6"/>
              <w:jc w:val="center"/>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单基因遗传病携带者筛查（10-50种）</w:t>
            </w:r>
          </w:p>
        </w:tc>
        <w:tc>
          <w:tcPr>
            <w:tcW w:w="169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p w14:paraId="7A732D01">
            <w:pPr>
              <w:pStyle w:val="6"/>
              <w:jc w:val="center"/>
              <w:rPr>
                <w:rFonts w:hint="eastAsia" w:asciiTheme="minorEastAsia" w:hAnsiTheme="minorEastAsia" w:eastAsiaTheme="minorEastAsia" w:cstheme="minorEastAsia"/>
                <w:b w:val="0"/>
                <w:bCs/>
                <w:sz w:val="24"/>
              </w:rPr>
            </w:pPr>
          </w:p>
        </w:tc>
        <w:tc>
          <w:tcPr>
            <w:tcW w:w="14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p w14:paraId="4F7F06ED">
            <w:pPr>
              <w:pStyle w:val="6"/>
              <w:jc w:val="center"/>
              <w:rPr>
                <w:rFonts w:hint="eastAsia" w:asciiTheme="minorEastAsia" w:hAnsiTheme="minorEastAsia" w:eastAsiaTheme="minorEastAsia" w:cstheme="minorEastAsia"/>
                <w:b w:val="0"/>
                <w:bCs/>
                <w:sz w:val="24"/>
              </w:rPr>
            </w:pPr>
          </w:p>
        </w:tc>
      </w:tr>
      <w:tr w14:paraId="251589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0" w:type="dxa"/>
            <w:tcBorders>
              <w:top w:val="single" w:color="auto" w:sz="4" w:space="0"/>
              <w:left w:val="single" w:color="auto" w:sz="4" w:space="0"/>
              <w:bottom w:val="single" w:color="auto" w:sz="4" w:space="0"/>
              <w:right w:val="single" w:color="auto" w:sz="4" w:space="0"/>
            </w:tcBorders>
            <w:shd w:val="clear" w:color="auto" w:fill="auto"/>
            <w:vAlign w:val="top"/>
          </w:tcPr>
          <w:p w14:paraId="3184F52E">
            <w:pPr>
              <w:pStyle w:val="6"/>
              <w:jc w:val="center"/>
              <w:rPr>
                <w:rFonts w:hint="eastAsia" w:asciiTheme="minorEastAsia" w:hAnsiTheme="minorEastAsia" w:eastAsiaTheme="minorEastAsia" w:cstheme="minorEastAsia"/>
                <w:b w:val="0"/>
                <w:bCs/>
                <w:sz w:val="24"/>
                <w:lang w:val="en-US" w:eastAsia="zh-Hans"/>
              </w:rPr>
            </w:pPr>
            <w:r>
              <w:rPr>
                <w:rFonts w:hint="default" w:asciiTheme="minorEastAsia" w:hAnsiTheme="minorEastAsia" w:eastAsiaTheme="minorEastAsia" w:cstheme="minorEastAsia"/>
                <w:b w:val="0"/>
                <w:bCs/>
                <w:sz w:val="24"/>
                <w:lang w:eastAsia="zh-CN"/>
              </w:rPr>
              <w:t>新生儿</w:t>
            </w:r>
            <w:r>
              <w:rPr>
                <w:rFonts w:hint="default" w:asciiTheme="minorEastAsia" w:hAnsiTheme="minorEastAsia" w:eastAsiaTheme="minorEastAsia" w:cstheme="minorEastAsia"/>
                <w:b w:val="0"/>
                <w:bCs/>
                <w:sz w:val="24"/>
              </w:rPr>
              <w:t>检测服务</w:t>
            </w:r>
          </w:p>
        </w:tc>
        <w:tc>
          <w:tcPr>
            <w:tcW w:w="26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BDE2324">
            <w:pPr>
              <w:pStyle w:val="6"/>
              <w:jc w:val="center"/>
              <w:rPr>
                <w:rFonts w:hint="eastAsia" w:asciiTheme="minorEastAsia" w:hAnsiTheme="minorEastAsia" w:eastAsiaTheme="minorEastAsia" w:cstheme="minorEastAsia"/>
                <w:b w:val="0"/>
                <w:bCs/>
                <w:sz w:val="24"/>
                <w:lang w:val="en-US" w:eastAsia="zh-Hans"/>
              </w:rPr>
            </w:pPr>
            <w:r>
              <w:rPr>
                <w:rFonts w:hint="default" w:asciiTheme="minorEastAsia" w:hAnsiTheme="minorEastAsia" w:eastAsiaTheme="minorEastAsia" w:cstheme="minorEastAsia"/>
                <w:b w:val="0"/>
                <w:bCs/>
                <w:sz w:val="24"/>
                <w:lang w:eastAsia="zh-CN"/>
              </w:rPr>
              <w:t>新生儿基因筛查</w:t>
            </w:r>
          </w:p>
        </w:tc>
        <w:tc>
          <w:tcPr>
            <w:tcW w:w="169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p w14:paraId="79193FA3">
            <w:pPr>
              <w:pStyle w:val="6"/>
              <w:jc w:val="center"/>
              <w:rPr>
                <w:rFonts w:hint="eastAsia" w:asciiTheme="minorEastAsia" w:hAnsiTheme="minorEastAsia" w:eastAsiaTheme="minorEastAsia" w:cstheme="minorEastAsia"/>
                <w:b w:val="0"/>
                <w:bCs/>
                <w:sz w:val="24"/>
              </w:rPr>
            </w:pPr>
          </w:p>
        </w:tc>
        <w:tc>
          <w:tcPr>
            <w:tcW w:w="14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p w14:paraId="782F933E">
            <w:pPr>
              <w:pStyle w:val="6"/>
              <w:jc w:val="center"/>
              <w:rPr>
                <w:rFonts w:hint="eastAsia" w:asciiTheme="minorEastAsia" w:hAnsiTheme="minorEastAsia" w:eastAsiaTheme="minorEastAsia" w:cstheme="minorEastAsia"/>
                <w:b w:val="0"/>
                <w:bCs/>
                <w:sz w:val="24"/>
              </w:rPr>
            </w:pPr>
          </w:p>
        </w:tc>
      </w:tr>
    </w:tbl>
    <w:p w14:paraId="14646F93">
      <w:pPr>
        <w:pStyle w:val="6"/>
        <w:ind w:firstLine="480"/>
        <w:jc w:val="both"/>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color w:val="222222"/>
          <w:sz w:val="24"/>
        </w:rPr>
        <w:t>1.</w:t>
      </w:r>
      <w:r>
        <w:rPr>
          <w:rFonts w:hint="eastAsia" w:asciiTheme="minorEastAsia" w:hAnsiTheme="minorEastAsia" w:eastAsiaTheme="minorEastAsia" w:cstheme="minorEastAsia"/>
          <w:b w:val="0"/>
          <w:bCs/>
          <w:sz w:val="24"/>
        </w:rPr>
        <w:t>如遇到国家、省、市相关部门政策调整或耗材集采导致检测服务分项基准单价发生变化，双方应及时调整相应检测服务分项基准单价，调低不调高。</w:t>
      </w:r>
    </w:p>
    <w:p w14:paraId="3F7C5780">
      <w:pPr>
        <w:pStyle w:val="6"/>
        <w:ind w:firstLine="480"/>
        <w:jc w:val="both"/>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color w:val="222222"/>
          <w:sz w:val="24"/>
        </w:rPr>
        <w:t>2.本项目采购内容根据实际检测项目和数量进行结算，若在服务有效期内，采购内容的专项资金（项目预算金额）提前使用完毕，可依照相关法规要求继续以原合同价格与乙方协商签订补充合同，补充合同采购金额不超过专项资金（项目预算金额）的10%，达到专项资金（项目预算金额）的10%，本项目所有合同自动终止。</w:t>
      </w:r>
    </w:p>
    <w:p w14:paraId="643A9C89">
      <w:pPr>
        <w:pStyle w:val="6"/>
        <w:ind w:firstLine="480"/>
        <w:jc w:val="both"/>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color w:val="222222"/>
          <w:sz w:val="24"/>
        </w:rPr>
        <w:t>3.投标报价不超过本项目最高限价，投标单价不超过本项目相应单项的最高单价限价。</w:t>
      </w:r>
    </w:p>
    <w:p w14:paraId="1BABC17B">
      <w:pPr>
        <w:pStyle w:val="6"/>
        <w:ind w:left="48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color w:val="222222"/>
          <w:sz w:val="24"/>
        </w:rPr>
        <w:t>（二）</w:t>
      </w:r>
      <w:r>
        <w:rPr>
          <w:rFonts w:hint="eastAsia" w:asciiTheme="minorEastAsia" w:hAnsiTheme="minorEastAsia" w:eastAsiaTheme="minorEastAsia" w:cstheme="minorEastAsia"/>
          <w:b w:val="0"/>
          <w:bCs/>
          <w:sz w:val="24"/>
        </w:rPr>
        <w:t>服务范围及服务内容</w:t>
      </w:r>
      <w:r>
        <w:rPr>
          <w:rFonts w:hint="eastAsia" w:asciiTheme="minorEastAsia" w:hAnsiTheme="minorEastAsia" w:eastAsiaTheme="minorEastAsia" w:cstheme="minorEastAsia"/>
          <w:b w:val="0"/>
          <w:bCs/>
        </w:rPr>
        <w:br w:type="textWrapping"/>
      </w:r>
      <w:r>
        <w:rPr>
          <w:rFonts w:hint="eastAsia" w:asciiTheme="minorEastAsia" w:hAnsiTheme="minorEastAsia" w:eastAsiaTheme="minorEastAsia" w:cstheme="minorEastAsia"/>
          <w:b w:val="0"/>
          <w:bCs/>
          <w:sz w:val="24"/>
        </w:rPr>
        <w:t>1.检测范围要求</w:t>
      </w:r>
    </w:p>
    <w:p w14:paraId="32625BD7">
      <w:pPr>
        <w:pStyle w:val="6"/>
        <w:spacing w:line="240" w:lineRule="auto"/>
        <w:ind w:firstLine="48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color w:val="222222"/>
          <w:sz w:val="24"/>
        </w:rPr>
        <w:t>（1）</w:t>
      </w:r>
      <w:r>
        <w:rPr>
          <w:rFonts w:hint="eastAsia" w:asciiTheme="minorEastAsia" w:hAnsiTheme="minorEastAsia" w:eastAsiaTheme="minorEastAsia" w:cstheme="minorEastAsia"/>
          <w:b w:val="0"/>
          <w:bCs/>
          <w:sz w:val="24"/>
        </w:rPr>
        <w:t>单基因遗传病携带者筛查（100-200种）</w:t>
      </w:r>
      <w:r>
        <w:rPr>
          <w:rFonts w:hint="eastAsia" w:asciiTheme="minorEastAsia" w:hAnsiTheme="minorEastAsia" w:eastAsiaTheme="minorEastAsia" w:cstheme="minorEastAsia"/>
          <w:b w:val="0"/>
          <w:bCs/>
          <w:color w:val="222222"/>
          <w:sz w:val="24"/>
        </w:rPr>
        <w:t>检测范围：</w:t>
      </w:r>
      <w:r>
        <w:rPr>
          <w:rFonts w:hint="eastAsia" w:asciiTheme="minorEastAsia" w:hAnsiTheme="minorEastAsia" w:eastAsiaTheme="minorEastAsia" w:cstheme="minorEastAsia"/>
          <w:b w:val="0"/>
          <w:bCs/>
          <w:color w:val="000000"/>
          <w:kern w:val="2"/>
          <w:sz w:val="24"/>
          <w:szCs w:val="24"/>
          <w:lang w:val="en-US" w:eastAsia="zh-CN" w:bidi="ar-SA"/>
        </w:rPr>
        <w:t>不低于150种，包含常见的进行性假肥大性肌营养不良（DMD）、脊肌萎缩症（SMA）和地中海贫血等遗传病</w:t>
      </w:r>
      <w:r>
        <w:rPr>
          <w:rFonts w:hint="eastAsia" w:asciiTheme="minorEastAsia" w:hAnsiTheme="minorEastAsia" w:eastAsiaTheme="minorEastAsia" w:cstheme="minorEastAsia"/>
          <w:b w:val="0"/>
          <w:bCs/>
          <w:kern w:val="2"/>
          <w:sz w:val="24"/>
          <w:szCs w:val="24"/>
          <w:lang w:val="en-US" w:eastAsia="zh-CN" w:bidi="ar-SA"/>
        </w:rPr>
        <w:t>。</w:t>
      </w:r>
      <w:r>
        <w:rPr>
          <w:rFonts w:hint="eastAsia" w:asciiTheme="minorEastAsia" w:hAnsiTheme="minorEastAsia" w:eastAsiaTheme="minorEastAsia" w:cstheme="minorEastAsia"/>
          <w:b w:val="0"/>
          <w:bCs/>
          <w:color w:val="222222"/>
          <w:sz w:val="24"/>
        </w:rPr>
        <w:t>胎儿21-三体综合征（唐氏综合征）、18-三体综合征（爱德华氏综合征）、13-三体综合征（帕陶氏综合征）。</w:t>
      </w:r>
    </w:p>
    <w:p w14:paraId="1465ACC9">
      <w:pPr>
        <w:widowControl w:val="0"/>
        <w:numPr>
          <w:ilvl w:val="0"/>
          <w:numId w:val="0"/>
        </w:numPr>
        <w:spacing w:line="240" w:lineRule="auto"/>
        <w:ind w:left="0" w:leftChars="0" w:firstLine="0" w:firstLineChars="0"/>
        <w:jc w:val="both"/>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222222"/>
          <w:sz w:val="24"/>
        </w:rPr>
        <w:t>（2）</w:t>
      </w:r>
      <w:r>
        <w:rPr>
          <w:rFonts w:hint="eastAsia" w:asciiTheme="minorEastAsia" w:hAnsiTheme="minorEastAsia" w:eastAsiaTheme="minorEastAsia" w:cstheme="minorEastAsia"/>
          <w:b w:val="0"/>
          <w:bCs/>
          <w:sz w:val="24"/>
        </w:rPr>
        <w:t>单基因遗传病携带者筛查（10-50种）</w:t>
      </w:r>
      <w:r>
        <w:rPr>
          <w:rFonts w:hint="eastAsia" w:asciiTheme="minorEastAsia" w:hAnsiTheme="minorEastAsia" w:eastAsiaTheme="minorEastAsia" w:cstheme="minorEastAsia"/>
          <w:b w:val="0"/>
          <w:bCs/>
          <w:color w:val="222222"/>
          <w:sz w:val="24"/>
        </w:rPr>
        <w:t>检测范围：</w:t>
      </w:r>
      <w:r>
        <w:rPr>
          <w:rFonts w:hint="eastAsia" w:asciiTheme="minorEastAsia" w:hAnsiTheme="minorEastAsia" w:eastAsiaTheme="minorEastAsia" w:cstheme="minorEastAsia"/>
          <w:b w:val="0"/>
          <w:bCs/>
          <w:color w:val="000000"/>
          <w:kern w:val="2"/>
          <w:sz w:val="24"/>
          <w:szCs w:val="24"/>
          <w:lang w:val="en-US" w:eastAsia="zh-CN" w:bidi="ar-SA"/>
        </w:rPr>
        <w:t>不低于40种，包含常见的进行性假肥大性肌营养不良（DMD）、脊肌萎缩症（SMA）和地中海贫血等遗传病</w:t>
      </w:r>
      <w:r>
        <w:rPr>
          <w:rFonts w:hint="eastAsia" w:asciiTheme="minorEastAsia" w:hAnsiTheme="minorEastAsia" w:eastAsiaTheme="minorEastAsia" w:cstheme="minorEastAsia"/>
          <w:b w:val="0"/>
          <w:bCs/>
          <w:kern w:val="2"/>
          <w:sz w:val="24"/>
          <w:szCs w:val="24"/>
          <w:lang w:val="en-US" w:eastAsia="zh-CN" w:bidi="ar-SA"/>
        </w:rPr>
        <w:t>。</w:t>
      </w:r>
    </w:p>
    <w:p w14:paraId="26BB949A">
      <w:pPr>
        <w:pStyle w:val="6"/>
        <w:spacing w:after="120"/>
        <w:ind w:firstLine="482"/>
        <w:jc w:val="both"/>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sz w:val="24"/>
        </w:rPr>
        <w:t>2.总体服务要求：</w:t>
      </w:r>
    </w:p>
    <w:p w14:paraId="3FCBECB2">
      <w:pPr>
        <w:pStyle w:val="6"/>
        <w:ind w:firstLine="480"/>
        <w:jc w:val="both"/>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color w:val="222222"/>
          <w:sz w:val="24"/>
        </w:rPr>
        <w:t>（1）乙方负责标本核对、标本物流快递取样、高通量测序、报告解读等</w:t>
      </w:r>
      <w:r>
        <w:rPr>
          <w:rFonts w:hint="eastAsia" w:asciiTheme="minorEastAsia" w:hAnsiTheme="minorEastAsia" w:eastAsiaTheme="minorEastAsia" w:cstheme="minorEastAsia"/>
          <w:b w:val="0"/>
          <w:bCs/>
          <w:color w:val="222222"/>
          <w:sz w:val="24"/>
          <w:lang w:val="en-US" w:eastAsia="zh-Hans"/>
        </w:rPr>
        <w:t>服务</w:t>
      </w:r>
      <w:r>
        <w:rPr>
          <w:rFonts w:hint="eastAsia" w:asciiTheme="minorEastAsia" w:hAnsiTheme="minorEastAsia" w:eastAsiaTheme="minorEastAsia" w:cstheme="minorEastAsia"/>
          <w:b w:val="0"/>
          <w:bCs/>
          <w:color w:val="222222"/>
          <w:sz w:val="24"/>
        </w:rPr>
        <w:t>。</w:t>
      </w:r>
    </w:p>
    <w:p w14:paraId="470DC42E">
      <w:pPr>
        <w:pStyle w:val="6"/>
        <w:ind w:firstLine="480"/>
        <w:jc w:val="both"/>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color w:val="222222"/>
          <w:sz w:val="24"/>
        </w:rPr>
        <w:t>（2）乙方具有完善的客户服务体系，客服中心设有400电话，能够及时解决客户的各种问题及咨询。</w:t>
      </w:r>
    </w:p>
    <w:p w14:paraId="11E1095B">
      <w:pPr>
        <w:pStyle w:val="6"/>
        <w:ind w:firstLine="480"/>
        <w:jc w:val="both"/>
        <w:rPr>
          <w:rFonts w:hint="eastAsia" w:asciiTheme="minorEastAsia" w:hAnsiTheme="minorEastAsia" w:eastAsiaTheme="minorEastAsia" w:cstheme="minorEastAsia"/>
          <w:b w:val="0"/>
          <w:bCs/>
          <w:color w:val="222222"/>
          <w:sz w:val="24"/>
        </w:rPr>
      </w:pPr>
      <w:r>
        <w:rPr>
          <w:rFonts w:hint="eastAsia" w:asciiTheme="minorEastAsia" w:hAnsiTheme="minorEastAsia" w:eastAsiaTheme="minorEastAsia" w:cstheme="minorEastAsia"/>
          <w:b w:val="0"/>
          <w:bCs/>
          <w:color w:val="222222"/>
          <w:sz w:val="24"/>
        </w:rPr>
        <w:t>（3）乙方具有专业的生信分析团队及遗传咨询团队，并具有专业的遗传咨询证书，需提供证书复印件给甲方。</w:t>
      </w:r>
    </w:p>
    <w:p w14:paraId="42B95C17">
      <w:pPr>
        <w:pStyle w:val="6"/>
        <w:ind w:firstLine="480" w:firstLineChars="200"/>
        <w:jc w:val="both"/>
        <w:rPr>
          <w:rFonts w:hint="eastAsia" w:asciiTheme="minorEastAsia" w:hAnsiTheme="minorEastAsia" w:eastAsiaTheme="minorEastAsia" w:cstheme="minorEastAsia"/>
          <w:b w:val="0"/>
          <w:bCs/>
          <w:color w:val="222222"/>
          <w:sz w:val="24"/>
          <w:highlight w:val="none"/>
        </w:rPr>
      </w:pPr>
      <w:r>
        <w:rPr>
          <w:rFonts w:hint="eastAsia" w:asciiTheme="minorEastAsia" w:hAnsiTheme="minorEastAsia" w:cstheme="minorEastAsia"/>
          <w:b w:val="0"/>
          <w:bCs/>
          <w:color w:val="222222"/>
          <w:sz w:val="24"/>
          <w:highlight w:val="none"/>
          <w:lang w:eastAsia="zh-CN"/>
        </w:rPr>
        <w:t>（</w:t>
      </w:r>
      <w:r>
        <w:rPr>
          <w:rFonts w:hint="eastAsia" w:asciiTheme="minorEastAsia" w:hAnsiTheme="minorEastAsia" w:cstheme="minorEastAsia"/>
          <w:b w:val="0"/>
          <w:bCs/>
          <w:color w:val="222222"/>
          <w:sz w:val="24"/>
          <w:highlight w:val="none"/>
          <w:lang w:val="en-US" w:eastAsia="zh-CN"/>
        </w:rPr>
        <w:t>4</w:t>
      </w:r>
      <w:r>
        <w:rPr>
          <w:rFonts w:hint="eastAsia" w:asciiTheme="minorEastAsia" w:hAnsiTheme="minorEastAsia" w:cstheme="minorEastAsia"/>
          <w:b w:val="0"/>
          <w:bCs/>
          <w:color w:val="222222"/>
          <w:sz w:val="24"/>
          <w:highlight w:val="none"/>
          <w:lang w:eastAsia="zh-CN"/>
        </w:rPr>
        <w:t>）</w:t>
      </w:r>
      <w:r>
        <w:rPr>
          <w:rFonts w:hint="eastAsia" w:asciiTheme="minorEastAsia" w:hAnsiTheme="minorEastAsia" w:eastAsiaTheme="minorEastAsia" w:cstheme="minorEastAsia"/>
          <w:b w:val="0"/>
          <w:bCs/>
          <w:color w:val="222222"/>
          <w:sz w:val="24"/>
          <w:highlight w:val="none"/>
        </w:rPr>
        <w:t>乙方能够提供必备的保障措施，检测范围内的已知致病、可能致病突变的漏诊、误诊，而导致的医疗差错成本由乙方承担。</w:t>
      </w:r>
    </w:p>
    <w:p w14:paraId="3DF30453">
      <w:pPr>
        <w:pStyle w:val="6"/>
        <w:ind w:firstLine="480"/>
        <w:jc w:val="both"/>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color w:val="222222"/>
          <w:sz w:val="24"/>
        </w:rPr>
        <w:t>（</w:t>
      </w:r>
      <w:r>
        <w:rPr>
          <w:rFonts w:hint="eastAsia" w:asciiTheme="minorEastAsia" w:hAnsiTheme="minorEastAsia" w:cstheme="minorEastAsia"/>
          <w:b w:val="0"/>
          <w:bCs/>
          <w:color w:val="222222"/>
          <w:sz w:val="24"/>
          <w:lang w:val="en-US" w:eastAsia="zh-CN"/>
        </w:rPr>
        <w:t>5</w:t>
      </w:r>
      <w:r>
        <w:rPr>
          <w:rFonts w:hint="eastAsia" w:asciiTheme="minorEastAsia" w:hAnsiTheme="minorEastAsia" w:eastAsiaTheme="minorEastAsia" w:cstheme="minorEastAsia"/>
          <w:b w:val="0"/>
          <w:bCs/>
          <w:color w:val="222222"/>
          <w:sz w:val="24"/>
        </w:rPr>
        <w:t>）检测报告出具时间自采样之日起不超过15个工作日。</w:t>
      </w:r>
    </w:p>
    <w:p w14:paraId="5CF9B44B">
      <w:pPr>
        <w:pStyle w:val="6"/>
        <w:ind w:firstLine="48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color w:val="222222"/>
          <w:sz w:val="24"/>
        </w:rPr>
        <w:t>（</w:t>
      </w:r>
      <w:r>
        <w:rPr>
          <w:rFonts w:hint="eastAsia" w:asciiTheme="minorEastAsia" w:hAnsiTheme="minorEastAsia" w:cstheme="minorEastAsia"/>
          <w:b w:val="0"/>
          <w:bCs/>
          <w:color w:val="222222"/>
          <w:sz w:val="24"/>
          <w:lang w:val="en-US" w:eastAsia="zh-CN"/>
        </w:rPr>
        <w:t>6</w:t>
      </w:r>
      <w:r>
        <w:rPr>
          <w:rFonts w:hint="eastAsia" w:asciiTheme="minorEastAsia" w:hAnsiTheme="minorEastAsia" w:eastAsiaTheme="minorEastAsia" w:cstheme="minorEastAsia"/>
          <w:b w:val="0"/>
          <w:bCs/>
          <w:color w:val="222222"/>
          <w:sz w:val="24"/>
        </w:rPr>
        <w:t>）乙方不能把检测服务转包给第三方完成。</w:t>
      </w:r>
    </w:p>
    <w:p w14:paraId="19DE64F2">
      <w:pPr>
        <w:pStyle w:val="6"/>
        <w:jc w:val="both"/>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采购包1（产前检测服务）1.主要商务要求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1F48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56C9FC">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标的提供的时间</w:t>
            </w:r>
          </w:p>
        </w:tc>
        <w:tc>
          <w:tcPr>
            <w:tcW w:w="4153" w:type="dxa"/>
          </w:tcPr>
          <w:p w14:paraId="14DA447F">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本期服务有效期为自合同签订生效之日起1年（12个月），具体开始时间由采购人决定。若在服务有效期内，采购内容的专项资金（项目预算金额）提前使用完毕，本项目合同可提前终止。</w:t>
            </w:r>
          </w:p>
        </w:tc>
      </w:tr>
      <w:tr w14:paraId="4B5C7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A0F85B">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标的提供的地点</w:t>
            </w:r>
          </w:p>
        </w:tc>
        <w:tc>
          <w:tcPr>
            <w:tcW w:w="4153" w:type="dxa"/>
          </w:tcPr>
          <w:p w14:paraId="5169E174">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采购人指定地点。（以合同为准）。</w:t>
            </w:r>
          </w:p>
        </w:tc>
      </w:tr>
      <w:tr w14:paraId="61DDB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7DA2F7">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付款方式</w:t>
            </w:r>
          </w:p>
        </w:tc>
        <w:tc>
          <w:tcPr>
            <w:tcW w:w="4153" w:type="dxa"/>
          </w:tcPr>
          <w:p w14:paraId="70249B3B">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1期：支付比例100%,按每月发生的实际金额按月结算，中标人完成当月服务后，提供准确单据进行对账、采购人确认结算金额后，在次月15日前向采购人开具合法、准确的发票以及送交结算资料，采购人核实并签收发票后于10个工作日内向支付部门提交支付申请。结算以人民币为货币单位计算和支付，并通过银行转账的方式进行。每月各检测服务分项服务费＝相应检测服务分项的中标单价×当月相应检测服务分项的实际检测数量，每月的检测服务费应为当月各检测服务分项服务费之和，按实结算。本项目的检测服务费总金额应为服务有效期内各检测服务分项服务费之和。 注：采购人在规定时间内提出支付申请手续后，即视为采购人已经按期支付，实际付款到账时间及金额以支付单位支付时间及金额为准，采购人不承担任何逾期付款的违约责任。</w:t>
            </w:r>
          </w:p>
          <w:p w14:paraId="2623EFD6">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如项目发生合同融资，采购人应当将合同款项支付到合同约定收款账户。</w:t>
            </w:r>
          </w:p>
        </w:tc>
      </w:tr>
      <w:tr w14:paraId="5E436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9E8DE4">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验收要求</w:t>
            </w:r>
          </w:p>
        </w:tc>
        <w:tc>
          <w:tcPr>
            <w:tcW w:w="4153" w:type="dxa"/>
          </w:tcPr>
          <w:p w14:paraId="28A3FC78">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1期：以本项目招标文件、国家、省和市现行相关规范为验收标准。</w:t>
            </w:r>
          </w:p>
        </w:tc>
      </w:tr>
      <w:tr w14:paraId="1BFA3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370BD4">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履约保证金</w:t>
            </w:r>
          </w:p>
        </w:tc>
        <w:tc>
          <w:tcPr>
            <w:tcW w:w="4153" w:type="dxa"/>
          </w:tcPr>
          <w:p w14:paraId="08D1B798">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不收取</w:t>
            </w:r>
          </w:p>
        </w:tc>
      </w:tr>
      <w:tr w14:paraId="0F7A3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82DC823">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其他</w:t>
            </w:r>
          </w:p>
        </w:tc>
        <w:tc>
          <w:tcPr>
            <w:tcW w:w="4153" w:type="dxa"/>
          </w:tcPr>
          <w:p w14:paraId="3B311A32">
            <w:pPr>
              <w:pStyle w:val="6"/>
              <w:rPr>
                <w:rFonts w:hint="eastAsia" w:asciiTheme="minorEastAsia" w:hAnsiTheme="minorEastAsia" w:eastAsiaTheme="minorEastAsia" w:cstheme="minorEastAsia"/>
                <w:b w:val="0"/>
                <w:bCs/>
              </w:rPr>
            </w:pPr>
          </w:p>
        </w:tc>
      </w:tr>
    </w:tbl>
    <w:p w14:paraId="030454FE">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其他商务需求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14:paraId="2A107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14:paraId="21A5AF77">
            <w:pPr>
              <w:pStyle w:val="6"/>
              <w:jc w:val="center"/>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参数性质</w:t>
            </w:r>
          </w:p>
        </w:tc>
        <w:tc>
          <w:tcPr>
            <w:tcW w:w="2076" w:type="dxa"/>
            <w:gridSpan w:val="2"/>
          </w:tcPr>
          <w:p w14:paraId="1C880BF0">
            <w:pPr>
              <w:pStyle w:val="6"/>
              <w:jc w:val="center"/>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编号</w:t>
            </w:r>
          </w:p>
        </w:tc>
        <w:tc>
          <w:tcPr>
            <w:tcW w:w="2076" w:type="dxa"/>
          </w:tcPr>
          <w:p w14:paraId="59E89450">
            <w:pPr>
              <w:pStyle w:val="6"/>
              <w:jc w:val="center"/>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内容明细</w:t>
            </w:r>
          </w:p>
        </w:tc>
        <w:tc>
          <w:tcPr>
            <w:tcW w:w="2076" w:type="dxa"/>
          </w:tcPr>
          <w:p w14:paraId="735D9356">
            <w:pPr>
              <w:pStyle w:val="6"/>
              <w:jc w:val="center"/>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内容说明</w:t>
            </w:r>
          </w:p>
        </w:tc>
      </w:tr>
      <w:tr w14:paraId="1C2B0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14:paraId="73740F8B">
            <w:pPr>
              <w:rPr>
                <w:rFonts w:hint="eastAsia" w:asciiTheme="minorEastAsia" w:hAnsiTheme="minorEastAsia" w:eastAsiaTheme="minorEastAsia" w:cstheme="minorEastAsia"/>
                <w:b w:val="0"/>
                <w:bCs/>
              </w:rPr>
            </w:pPr>
          </w:p>
        </w:tc>
        <w:tc>
          <w:tcPr>
            <w:tcW w:w="2076" w:type="dxa"/>
            <w:gridSpan w:val="2"/>
          </w:tcPr>
          <w:p w14:paraId="019BF864">
            <w:pPr>
              <w:pStyle w:val="6"/>
              <w:jc w:val="center"/>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1</w:t>
            </w:r>
          </w:p>
        </w:tc>
        <w:tc>
          <w:tcPr>
            <w:tcW w:w="2076" w:type="dxa"/>
          </w:tcPr>
          <w:p w14:paraId="322246A1">
            <w:pPr>
              <w:pStyle w:val="6"/>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其他</w:t>
            </w:r>
          </w:p>
        </w:tc>
        <w:tc>
          <w:tcPr>
            <w:tcW w:w="2076" w:type="dxa"/>
          </w:tcPr>
          <w:p w14:paraId="53C84B84">
            <w:pPr>
              <w:pStyle w:val="6"/>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1.本次采购内容为江门市妇幼保健院遗传病携带者筛查项目（具体要求详见“技术要求”）。供应商不得将本项目中的内容拆散来响应。 2.供应商应当提供相关的财务及资信情况资料，以证明其经营状况及履约能力。 3.供应商如属于小型和微型企业（监狱企业、残疾人福利单位视同小型、微型企业）的，应在响应文件中提供相关证明材料。 4.投标报价应为人民币含税全包价。 5.采购合同由成交供应商与采购人双方签订。</w:t>
            </w:r>
          </w:p>
        </w:tc>
      </w:tr>
      <w:tr w14:paraId="60F4D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14:paraId="7BA47A38">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说明</w:t>
            </w:r>
          </w:p>
        </w:tc>
        <w:tc>
          <w:tcPr>
            <w:tcW w:w="5538" w:type="dxa"/>
            <w:gridSpan w:val="4"/>
          </w:tcPr>
          <w:p w14:paraId="0537F8E2">
            <w:pPr>
              <w:pStyle w:val="6"/>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 xml:space="preserve"> 打“★”号条款为实质性条款，若有任何一条负偏离或不满足则导致投标（响应）无效。 </w:t>
            </w:r>
            <w:r>
              <w:rPr>
                <w:rFonts w:hint="eastAsia" w:asciiTheme="minorEastAsia" w:hAnsiTheme="minorEastAsia" w:eastAsiaTheme="minorEastAsia" w:cstheme="minorEastAsia"/>
                <w:b w:val="0"/>
                <w:bCs/>
              </w:rPr>
              <w:br w:type="textWrapping"/>
            </w:r>
            <w:r>
              <w:rPr>
                <w:rFonts w:hint="eastAsia" w:asciiTheme="minorEastAsia" w:hAnsiTheme="minorEastAsia" w:eastAsiaTheme="minorEastAsia" w:cstheme="minorEastAsia"/>
                <w:b w:val="0"/>
                <w:bCs/>
              </w:rPr>
              <w:t>打“▲”号条款为重要参数（如有），若有部分“▲”条款未响应或不满足，将根据评审要求影响其得分，但不作为无效投标（响应）条款。</w:t>
            </w:r>
          </w:p>
        </w:tc>
      </w:tr>
    </w:tbl>
    <w:p w14:paraId="6A4EEA54">
      <w:pPr>
        <w:pStyle w:val="6"/>
        <w:rPr>
          <w:rFonts w:hint="eastAsia" w:asciiTheme="minorEastAsia" w:hAnsiTheme="minorEastAsia" w:eastAsiaTheme="minorEastAsia" w:cstheme="minorEastAsia"/>
          <w:b w:val="0"/>
          <w:bCs/>
        </w:rPr>
      </w:pPr>
    </w:p>
    <w:p w14:paraId="11E01B1B">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附表一：单基因遗传病携带者筛查（100-200种）</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14:paraId="7FEC5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67CC706">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参数性质</w:t>
            </w:r>
          </w:p>
        </w:tc>
        <w:tc>
          <w:tcPr>
            <w:tcW w:w="415" w:type="dxa"/>
          </w:tcPr>
          <w:p w14:paraId="46C9F349">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序号</w:t>
            </w:r>
          </w:p>
        </w:tc>
        <w:tc>
          <w:tcPr>
            <w:tcW w:w="5814" w:type="dxa"/>
          </w:tcPr>
          <w:p w14:paraId="008EF7DC">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具体技术(参数)要求</w:t>
            </w:r>
          </w:p>
        </w:tc>
      </w:tr>
      <w:tr w14:paraId="665E3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DB134EC">
            <w:pPr>
              <w:rPr>
                <w:rFonts w:hint="eastAsia" w:asciiTheme="minorEastAsia" w:hAnsiTheme="minorEastAsia" w:eastAsiaTheme="minorEastAsia" w:cstheme="minorEastAsia"/>
                <w:b w:val="0"/>
                <w:bCs/>
                <w:sz w:val="21"/>
                <w:szCs w:val="21"/>
              </w:rPr>
            </w:pPr>
          </w:p>
        </w:tc>
        <w:tc>
          <w:tcPr>
            <w:tcW w:w="415" w:type="dxa"/>
          </w:tcPr>
          <w:p w14:paraId="3F82DFC3">
            <w:pPr>
              <w:pStyle w:val="6"/>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w:t>
            </w:r>
          </w:p>
        </w:tc>
        <w:tc>
          <w:tcPr>
            <w:tcW w:w="5814" w:type="dxa"/>
          </w:tcPr>
          <w:p w14:paraId="00943C2B">
            <w:pPr>
              <w:pStyle w:val="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1、单基因遗传病携带者筛查（100-200种）</w:t>
            </w:r>
          </w:p>
          <w:p w14:paraId="65F6CFAE">
            <w:pPr>
              <w:widowControl w:val="0"/>
              <w:numPr>
                <w:ilvl w:val="0"/>
                <w:numId w:val="1"/>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bookmarkStart w:id="0" w:name="_Hlk128751225"/>
            <w:r>
              <w:rPr>
                <w:rFonts w:hint="eastAsia" w:asciiTheme="minorEastAsia" w:hAnsiTheme="minorEastAsia" w:eastAsiaTheme="minorEastAsia" w:cstheme="minorEastAsia"/>
                <w:b w:val="0"/>
                <w:bCs/>
                <w:color w:val="000000"/>
                <w:kern w:val="2"/>
                <w:sz w:val="21"/>
                <w:szCs w:val="21"/>
                <w:lang w:val="en-US" w:eastAsia="zh-CN" w:bidi="ar-SA"/>
              </w:rPr>
              <w:t>检测病种数：不低于150种，包含常见的进行性假肥大性肌营养不良（DMD）、脊肌萎缩症（SMA）和地中海贫血等遗传病</w:t>
            </w:r>
            <w:bookmarkEnd w:id="0"/>
            <w:r>
              <w:rPr>
                <w:rFonts w:hint="eastAsia" w:asciiTheme="minorEastAsia" w:hAnsiTheme="minorEastAsia" w:eastAsiaTheme="minorEastAsia" w:cstheme="minorEastAsia"/>
                <w:b w:val="0"/>
                <w:bCs/>
                <w:kern w:val="2"/>
                <w:sz w:val="21"/>
                <w:szCs w:val="21"/>
                <w:lang w:val="en-US" w:eastAsia="zh-CN" w:bidi="ar-SA"/>
              </w:rPr>
              <w:t>。</w:t>
            </w:r>
          </w:p>
          <w:p w14:paraId="73C621EB">
            <w:pPr>
              <w:widowControl w:val="0"/>
              <w:numPr>
                <w:ilvl w:val="0"/>
                <w:numId w:val="1"/>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检测方法：目标区域捕获及高通量测序技术。</w:t>
            </w:r>
          </w:p>
          <w:p w14:paraId="24D0070B">
            <w:pPr>
              <w:widowControl w:val="0"/>
              <w:numPr>
                <w:ilvl w:val="0"/>
                <w:numId w:val="1"/>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检测样本类型：外周血、DNA、唾液。</w:t>
            </w:r>
          </w:p>
          <w:p w14:paraId="56A6F7ED">
            <w:pPr>
              <w:widowControl w:val="0"/>
              <w:numPr>
                <w:ilvl w:val="0"/>
                <w:numId w:val="1"/>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检测位点不低于20000个，且位点均参照ACMG解读指南规则判定为致病性或疑似致病性。</w:t>
            </w:r>
            <w:bookmarkStart w:id="1" w:name="_Hlk128751277"/>
          </w:p>
          <w:p w14:paraId="68F85106">
            <w:pPr>
              <w:widowControl w:val="0"/>
              <w:numPr>
                <w:ilvl w:val="0"/>
                <w:numId w:val="1"/>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能检测常见的CNV变异类型，包括进行性假肥大性肌营养不良DMD基因连续2个外显子及以上的缺失/重复、脊髓性肌肉萎缩症SMN1基因7号外显子缺失、地中海贫血HBA1/HBA2基因的常见5种大片段缺失（-SEA、-α3.7、-α4.2、FIL、THAI ）和地中海贫血HBB基因的常见3种大片段缺失（SEA-HPFH、Chinese、Tai</w:t>
            </w:r>
            <w:r>
              <w:rPr>
                <w:rFonts w:hint="eastAsia" w:asciiTheme="minorEastAsia" w:hAnsiTheme="minorEastAsia" w:eastAsiaTheme="minorEastAsia" w:cstheme="minorEastAsia"/>
                <w:b w:val="0"/>
                <w:bCs/>
                <w:color w:val="000000"/>
                <w:kern w:val="2"/>
                <w:sz w:val="21"/>
                <w:szCs w:val="21"/>
                <w:highlight w:val="none"/>
                <w:lang w:val="en-US" w:eastAsia="zh-CN" w:bidi="ar-SA"/>
              </w:rPr>
              <w:t>wanese）。</w:t>
            </w:r>
            <w:bookmarkStart w:id="2" w:name="_Hlk191976252"/>
          </w:p>
          <w:p w14:paraId="28625780">
            <w:pPr>
              <w:widowControl w:val="0"/>
              <w:numPr>
                <w:ilvl w:val="0"/>
                <w:numId w:val="1"/>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对于能检测的CNV，需提供CNV检测性能报告书，灵敏度特异性不低于99%</w:t>
            </w:r>
            <w:bookmarkEnd w:id="1"/>
            <w:bookmarkEnd w:id="2"/>
            <w:r>
              <w:rPr>
                <w:rFonts w:hint="eastAsia" w:asciiTheme="minorEastAsia" w:hAnsiTheme="minorEastAsia" w:eastAsiaTheme="minorEastAsia" w:cstheme="minorEastAsia"/>
                <w:b w:val="0"/>
                <w:bCs/>
                <w:color w:val="000000"/>
                <w:kern w:val="2"/>
                <w:sz w:val="21"/>
                <w:szCs w:val="21"/>
                <w:lang w:val="en-US" w:eastAsia="zh-CN" w:bidi="ar-SA"/>
              </w:rPr>
              <w:t>。</w:t>
            </w:r>
          </w:p>
          <w:p w14:paraId="325FAD94">
            <w:pPr>
              <w:widowControl w:val="0"/>
              <w:numPr>
                <w:ilvl w:val="0"/>
                <w:numId w:val="1"/>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bookmarkStart w:id="3" w:name="_Hlk128751325"/>
            <w:r>
              <w:rPr>
                <w:rFonts w:hint="eastAsia" w:asciiTheme="minorEastAsia" w:hAnsiTheme="minorEastAsia" w:eastAsiaTheme="minorEastAsia" w:cstheme="minorEastAsia"/>
                <w:b w:val="0"/>
                <w:bCs/>
                <w:color w:val="000000"/>
                <w:kern w:val="2"/>
                <w:sz w:val="21"/>
                <w:szCs w:val="21"/>
                <w:lang w:val="en-US" w:eastAsia="zh-CN" w:bidi="ar-SA"/>
              </w:rPr>
              <w:t>对NGS分析CNV流程中结果为阳性或灰区的样本提供金标准MLPA、Gap-PCR，等方法的二次验证</w:t>
            </w:r>
            <w:bookmarkEnd w:id="3"/>
            <w:r>
              <w:rPr>
                <w:rFonts w:hint="eastAsia" w:asciiTheme="minorEastAsia" w:hAnsiTheme="minorEastAsia" w:eastAsiaTheme="minorEastAsia" w:cstheme="minorEastAsia"/>
                <w:b w:val="0"/>
                <w:bCs/>
                <w:color w:val="000000"/>
                <w:kern w:val="2"/>
                <w:sz w:val="21"/>
                <w:szCs w:val="21"/>
                <w:lang w:val="en-US" w:eastAsia="zh-CN" w:bidi="ar-SA"/>
              </w:rPr>
              <w:t>。</w:t>
            </w:r>
          </w:p>
          <w:p w14:paraId="2E603A45">
            <w:pPr>
              <w:widowControl w:val="0"/>
              <w:numPr>
                <w:ilvl w:val="0"/>
                <w:numId w:val="1"/>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▲针对DMD DUP可做三代WGS验证（提供报告模板）。</w:t>
            </w:r>
          </w:p>
          <w:p w14:paraId="7D7F3102">
            <w:pPr>
              <w:widowControl w:val="0"/>
              <w:numPr>
                <w:ilvl w:val="0"/>
                <w:numId w:val="1"/>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投标人参与全国单基因遗传病携带者筛查结果解释室间质量评价活动，需提供室间质评证书。</w:t>
            </w:r>
          </w:p>
          <w:p w14:paraId="5F8E87CE">
            <w:pPr>
              <w:widowControl w:val="0"/>
              <w:numPr>
                <w:ilvl w:val="0"/>
                <w:numId w:val="1"/>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采用</w:t>
            </w:r>
            <w:r>
              <w:rPr>
                <w:rFonts w:hint="eastAsia" w:asciiTheme="minorEastAsia" w:hAnsiTheme="minorEastAsia" w:eastAsiaTheme="minorEastAsia" w:cstheme="minorEastAsia"/>
                <w:b w:val="0"/>
                <w:bCs/>
                <w:kern w:val="0"/>
                <w:sz w:val="21"/>
                <w:szCs w:val="21"/>
                <w:lang w:val="en-US" w:eastAsia="zh-CN" w:bidi="ar"/>
              </w:rPr>
              <w:t>线性扩增方法，无指数PCR累计错误。</w:t>
            </w:r>
          </w:p>
          <w:p w14:paraId="795BA948">
            <w:pPr>
              <w:widowControl w:val="0"/>
              <w:numPr>
                <w:ilvl w:val="0"/>
                <w:numId w:val="1"/>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bookmarkStart w:id="4" w:name="_Hlk161039935"/>
            <w:r>
              <w:rPr>
                <w:rFonts w:hint="eastAsia" w:asciiTheme="minorEastAsia" w:hAnsiTheme="minorEastAsia" w:eastAsiaTheme="minorEastAsia" w:cstheme="minorEastAsia"/>
                <w:b w:val="0"/>
                <w:bCs/>
                <w:color w:val="000000"/>
                <w:kern w:val="2"/>
                <w:sz w:val="21"/>
                <w:szCs w:val="21"/>
                <w:lang w:val="en-US" w:eastAsia="zh-CN" w:bidi="ar-SA"/>
              </w:rPr>
              <w:t>▲检测设备具有NMPA认证，在临床上用于对来源于人体样本的脱氧核糖核酸（DNA）和核糖核酸（RNA）进行测序，以检测基因序列（提供注册证复印件）。</w:t>
            </w:r>
            <w:bookmarkEnd w:id="4"/>
          </w:p>
          <w:p w14:paraId="57B902D7">
            <w:pPr>
              <w:widowControl w:val="0"/>
              <w:numPr>
                <w:ilvl w:val="0"/>
                <w:numId w:val="1"/>
              </w:numPr>
              <w:spacing w:line="360" w:lineRule="auto"/>
              <w:ind w:left="0" w:firstLine="420" w:firstLineChars="200"/>
              <w:jc w:val="both"/>
              <w:rPr>
                <w:rFonts w:hint="eastAsia" w:asciiTheme="minorEastAsia" w:hAnsiTheme="minorEastAsia" w:eastAsiaTheme="minorEastAsia" w:cstheme="minorEastAsia"/>
                <w:b w:val="0"/>
                <w:bCs/>
                <w:color w:val="FF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报告周期：收到合格样本15个工作日内。</w:t>
            </w:r>
          </w:p>
          <w:p w14:paraId="424F6352">
            <w:pPr>
              <w:widowControl w:val="0"/>
              <w:numPr>
                <w:ilvl w:val="0"/>
                <w:numId w:val="1"/>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bookmarkStart w:id="5" w:name="_Hlk128751340"/>
            <w:r>
              <w:rPr>
                <w:rFonts w:hint="eastAsia" w:asciiTheme="minorEastAsia" w:hAnsiTheme="minorEastAsia" w:eastAsiaTheme="minorEastAsia" w:cstheme="minorEastAsia"/>
                <w:b w:val="0"/>
                <w:bCs/>
                <w:color w:val="000000"/>
                <w:kern w:val="2"/>
                <w:sz w:val="21"/>
                <w:szCs w:val="21"/>
                <w:lang w:val="en-US" w:eastAsia="zh-CN" w:bidi="ar-SA"/>
              </w:rPr>
              <w:t>检测报告需包含所检测疾病的剩余风险相关信息</w:t>
            </w:r>
            <w:bookmarkEnd w:id="5"/>
            <w:r>
              <w:rPr>
                <w:rFonts w:hint="eastAsia" w:asciiTheme="minorEastAsia" w:hAnsiTheme="minorEastAsia" w:eastAsiaTheme="minorEastAsia" w:cstheme="minorEastAsia"/>
                <w:b w:val="0"/>
                <w:bCs/>
                <w:color w:val="000000"/>
                <w:kern w:val="2"/>
                <w:sz w:val="21"/>
                <w:szCs w:val="21"/>
                <w:lang w:val="en-US" w:eastAsia="zh-CN" w:bidi="ar-SA"/>
              </w:rPr>
              <w:t>。</w:t>
            </w:r>
          </w:p>
          <w:p w14:paraId="456C8DE1">
            <w:pPr>
              <w:widowControl w:val="0"/>
              <w:numPr>
                <w:ilvl w:val="0"/>
                <w:numId w:val="1"/>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w:t>
            </w:r>
            <w:bookmarkStart w:id="6" w:name="OLE_LINK13"/>
            <w:r>
              <w:rPr>
                <w:rFonts w:hint="eastAsia" w:asciiTheme="minorEastAsia" w:hAnsiTheme="minorEastAsia" w:eastAsiaTheme="minorEastAsia" w:cstheme="minorEastAsia"/>
                <w:b w:val="0"/>
                <w:bCs/>
                <w:color w:val="000000"/>
                <w:kern w:val="2"/>
                <w:sz w:val="21"/>
                <w:szCs w:val="21"/>
                <w:lang w:val="en-US" w:eastAsia="zh-CN" w:bidi="ar-SA"/>
              </w:rPr>
              <w:t>针对地贫香港型HKαα与anti-HKαα，能够提供验证并出具报告，需提供脱敏版真实检测报告。</w:t>
            </w:r>
            <w:bookmarkEnd w:id="6"/>
          </w:p>
          <w:p w14:paraId="67F8B645">
            <w:pPr>
              <w:widowControl w:val="0"/>
              <w:numPr>
                <w:ilvl w:val="0"/>
                <w:numId w:val="1"/>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▲有牵头或参与国内已发表的携带者筛查专家共识，提供已发表的专家共识作为证明材料。</w:t>
            </w:r>
            <w:r>
              <w:rPr>
                <w:rFonts w:hint="eastAsia" w:asciiTheme="minorEastAsia" w:hAnsiTheme="minorEastAsia" w:eastAsiaTheme="minorEastAsia" w:cstheme="minorEastAsia"/>
                <w:b w:val="0"/>
                <w:bCs/>
                <w:color w:val="000000"/>
                <w:kern w:val="0"/>
                <w:sz w:val="21"/>
                <w:szCs w:val="21"/>
                <w:lang w:val="en-US" w:eastAsia="zh-CN" w:bidi="ar"/>
              </w:rPr>
              <w:t>（</w:t>
            </w:r>
            <w:r>
              <w:rPr>
                <w:rFonts w:hint="eastAsia" w:asciiTheme="minorEastAsia" w:hAnsiTheme="minorEastAsia" w:eastAsiaTheme="minorEastAsia" w:cstheme="minorEastAsia"/>
                <w:b w:val="0"/>
                <w:bCs/>
                <w:color w:val="000000"/>
                <w:kern w:val="2"/>
                <w:sz w:val="21"/>
                <w:szCs w:val="21"/>
                <w:lang w:val="en-US" w:eastAsia="zh-CN" w:bidi="ar-SA"/>
              </w:rPr>
              <w:t>若投标人为子公司的，可提供所属集团公司的佐证材料；若投标人为代理商的，可提供厂家的佐证材料</w:t>
            </w:r>
            <w:r>
              <w:rPr>
                <w:rFonts w:hint="eastAsia" w:asciiTheme="minorEastAsia" w:hAnsiTheme="minorEastAsia" w:eastAsiaTheme="minorEastAsia" w:cstheme="minorEastAsia"/>
                <w:b w:val="0"/>
                <w:bCs/>
                <w:color w:val="000000"/>
                <w:kern w:val="0"/>
                <w:sz w:val="21"/>
                <w:szCs w:val="21"/>
                <w:lang w:val="en-US" w:eastAsia="zh-CN" w:bidi="ar"/>
              </w:rPr>
              <w:t>）</w:t>
            </w:r>
            <w:r>
              <w:rPr>
                <w:rFonts w:hint="eastAsia" w:asciiTheme="minorEastAsia" w:hAnsiTheme="minorEastAsia" w:eastAsiaTheme="minorEastAsia" w:cstheme="minorEastAsia"/>
                <w:b w:val="0"/>
                <w:bCs/>
                <w:color w:val="000000"/>
                <w:kern w:val="2"/>
                <w:sz w:val="21"/>
                <w:szCs w:val="21"/>
                <w:lang w:val="en-US" w:eastAsia="zh-CN" w:bidi="ar-SA"/>
              </w:rPr>
              <w:t>。</w:t>
            </w:r>
          </w:p>
          <w:p w14:paraId="417CBA1D">
            <w:pPr>
              <w:widowControl w:val="0"/>
              <w:numPr>
                <w:ilvl w:val="0"/>
                <w:numId w:val="1"/>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w:t>
            </w:r>
            <w:r>
              <w:rPr>
                <w:rFonts w:hint="eastAsia" w:asciiTheme="minorEastAsia" w:hAnsiTheme="minorEastAsia" w:eastAsiaTheme="minorEastAsia" w:cstheme="minorEastAsia"/>
                <w:b w:val="0"/>
                <w:bCs/>
                <w:kern w:val="2"/>
                <w:sz w:val="21"/>
                <w:szCs w:val="21"/>
                <w:lang w:val="en-US" w:eastAsia="zh-CN" w:bidi="ar-SA"/>
              </w:rPr>
              <w:t>具有丰富的项目经验，</w:t>
            </w:r>
            <w:r>
              <w:rPr>
                <w:rFonts w:hint="eastAsia" w:asciiTheme="minorEastAsia" w:hAnsiTheme="minorEastAsia" w:eastAsiaTheme="minorEastAsia" w:cstheme="minorEastAsia"/>
                <w:b w:val="0"/>
                <w:bCs/>
                <w:color w:val="000000"/>
                <w:kern w:val="2"/>
                <w:sz w:val="21"/>
                <w:szCs w:val="21"/>
                <w:lang w:val="en-US" w:eastAsia="zh-CN" w:bidi="ar-SA"/>
              </w:rPr>
              <w:t>已完成单基因遗传病携带者筛查检测样本量超过20万例</w:t>
            </w:r>
            <w:r>
              <w:rPr>
                <w:rFonts w:hint="eastAsia" w:asciiTheme="minorEastAsia" w:hAnsiTheme="minorEastAsia" w:eastAsiaTheme="minorEastAsia" w:cstheme="minorEastAsia"/>
                <w:b w:val="0"/>
                <w:bCs/>
                <w:color w:val="000000"/>
                <w:kern w:val="0"/>
                <w:sz w:val="21"/>
                <w:szCs w:val="21"/>
                <w:lang w:val="en-US" w:eastAsia="zh-CN" w:bidi="ar"/>
              </w:rPr>
              <w:t>。（</w:t>
            </w:r>
            <w:r>
              <w:rPr>
                <w:rFonts w:hint="eastAsia" w:asciiTheme="minorEastAsia" w:hAnsiTheme="minorEastAsia" w:eastAsiaTheme="minorEastAsia" w:cstheme="minorEastAsia"/>
                <w:b w:val="0"/>
                <w:bCs/>
                <w:color w:val="000000"/>
                <w:kern w:val="2"/>
                <w:sz w:val="21"/>
                <w:szCs w:val="21"/>
                <w:lang w:val="en-US" w:eastAsia="zh-CN" w:bidi="ar-SA"/>
              </w:rPr>
              <w:t>若投标人为子公司的，可提供所属集团公司的佐证材料；若投标人为代理商的，可提供厂家的佐证材料</w:t>
            </w:r>
            <w:r>
              <w:rPr>
                <w:rFonts w:hint="eastAsia" w:asciiTheme="minorEastAsia" w:hAnsiTheme="minorEastAsia" w:eastAsiaTheme="minorEastAsia" w:cstheme="minorEastAsia"/>
                <w:b w:val="0"/>
                <w:bCs/>
                <w:color w:val="000000"/>
                <w:kern w:val="0"/>
                <w:sz w:val="21"/>
                <w:szCs w:val="21"/>
                <w:lang w:val="en-US" w:eastAsia="zh-CN" w:bidi="ar"/>
              </w:rPr>
              <w:t>）</w:t>
            </w:r>
            <w:r>
              <w:rPr>
                <w:rFonts w:hint="eastAsia" w:asciiTheme="minorEastAsia" w:hAnsiTheme="minorEastAsia" w:eastAsiaTheme="minorEastAsia" w:cstheme="minorEastAsia"/>
                <w:b w:val="0"/>
                <w:bCs/>
                <w:color w:val="000000"/>
                <w:kern w:val="2"/>
                <w:sz w:val="21"/>
                <w:szCs w:val="21"/>
                <w:lang w:val="en-US" w:eastAsia="zh-CN" w:bidi="ar-SA"/>
              </w:rPr>
              <w:t>。</w:t>
            </w:r>
          </w:p>
          <w:p w14:paraId="49BEFF29">
            <w:pPr>
              <w:pStyle w:val="6"/>
              <w:jc w:val="both"/>
              <w:rPr>
                <w:rFonts w:hint="eastAsia" w:asciiTheme="minorEastAsia" w:hAnsiTheme="minorEastAsia" w:eastAsiaTheme="minorEastAsia" w:cstheme="minorEastAsia"/>
                <w:b w:val="0"/>
                <w:bCs/>
                <w:sz w:val="21"/>
                <w:szCs w:val="21"/>
              </w:rPr>
            </w:pPr>
          </w:p>
        </w:tc>
      </w:tr>
      <w:tr w14:paraId="68179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97CF746">
            <w:pPr>
              <w:pStyle w:val="6"/>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说明</w:t>
            </w:r>
          </w:p>
        </w:tc>
        <w:tc>
          <w:tcPr>
            <w:tcW w:w="6229" w:type="dxa"/>
            <w:gridSpan w:val="2"/>
          </w:tcPr>
          <w:p w14:paraId="1D11F4FB">
            <w:pPr>
              <w:pStyle w:val="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 打“★”号条款为实质性条款，若有任何一条负偏离或不满足则导致投标无效。 </w:t>
            </w:r>
            <w:r>
              <w:rPr>
                <w:rFonts w:hint="eastAsia" w:asciiTheme="minorEastAsia" w:hAnsiTheme="minorEastAsia" w:eastAsiaTheme="minorEastAsia" w:cstheme="minorEastAsia"/>
                <w:b w:val="0"/>
                <w:bCs/>
                <w:sz w:val="21"/>
                <w:szCs w:val="21"/>
              </w:rPr>
              <w:br w:type="textWrapping"/>
            </w:r>
            <w:r>
              <w:rPr>
                <w:rFonts w:hint="eastAsia" w:asciiTheme="minorEastAsia" w:hAnsiTheme="minorEastAsia" w:eastAsiaTheme="minorEastAsia" w:cstheme="minorEastAsia"/>
                <w:b w:val="0"/>
                <w:bCs/>
                <w:sz w:val="21"/>
                <w:szCs w:val="21"/>
              </w:rPr>
              <w:t>打“▲”号条款为重要技术参数，若有部分“▲”条款未响应或不满足，将导致其响应性评审加重扣分，但不作为无效投标条款。</w:t>
            </w:r>
          </w:p>
        </w:tc>
      </w:tr>
    </w:tbl>
    <w:p w14:paraId="7FCB114F">
      <w:pPr>
        <w:pStyle w:val="6"/>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附表二：单基因遗传病携带者筛查（10-50种）</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14:paraId="21A07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85D5100">
            <w:pPr>
              <w:pStyle w:val="6"/>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参数性质</w:t>
            </w:r>
          </w:p>
        </w:tc>
        <w:tc>
          <w:tcPr>
            <w:tcW w:w="415" w:type="dxa"/>
          </w:tcPr>
          <w:p w14:paraId="2FCA7E7D">
            <w:pPr>
              <w:pStyle w:val="6"/>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序号</w:t>
            </w:r>
          </w:p>
        </w:tc>
        <w:tc>
          <w:tcPr>
            <w:tcW w:w="5814" w:type="dxa"/>
          </w:tcPr>
          <w:p w14:paraId="47C74A3D">
            <w:pPr>
              <w:pStyle w:val="6"/>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具体技术(参数)要求</w:t>
            </w:r>
          </w:p>
        </w:tc>
      </w:tr>
      <w:tr w14:paraId="585E8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1A2A2C9">
            <w:pPr>
              <w:rPr>
                <w:rFonts w:hint="eastAsia" w:asciiTheme="minorEastAsia" w:hAnsiTheme="minorEastAsia" w:eastAsiaTheme="minorEastAsia" w:cstheme="minorEastAsia"/>
                <w:b w:val="0"/>
                <w:bCs/>
                <w:sz w:val="21"/>
                <w:szCs w:val="21"/>
              </w:rPr>
            </w:pPr>
          </w:p>
        </w:tc>
        <w:tc>
          <w:tcPr>
            <w:tcW w:w="415" w:type="dxa"/>
          </w:tcPr>
          <w:p w14:paraId="37E4D408">
            <w:pPr>
              <w:pStyle w:val="6"/>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w:t>
            </w:r>
          </w:p>
        </w:tc>
        <w:tc>
          <w:tcPr>
            <w:tcW w:w="5814" w:type="dxa"/>
          </w:tcPr>
          <w:p w14:paraId="68AD80FA">
            <w:pPr>
              <w:pStyle w:val="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w:t>
            </w:r>
            <w:r>
              <w:rPr>
                <w:rFonts w:hint="eastAsia" w:asciiTheme="minorEastAsia" w:hAnsiTheme="minorEastAsia" w:eastAsiaTheme="minorEastAsia" w:cstheme="minorEastAsia"/>
                <w:b w:val="0"/>
                <w:bCs/>
                <w:color w:val="000000"/>
                <w:sz w:val="21"/>
                <w:szCs w:val="21"/>
              </w:rPr>
              <w:t>、单基因遗传病携带者筛查（10-50种）</w:t>
            </w:r>
          </w:p>
          <w:p w14:paraId="5B0271FC">
            <w:pPr>
              <w:widowControl w:val="0"/>
              <w:numPr>
                <w:ilvl w:val="0"/>
                <w:numId w:val="2"/>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检测病种数：不低于40种，包含常见的进行性假肥大性肌营养不良（DMD）、脊肌萎缩症（SMA）和地中海贫血等遗传病</w:t>
            </w:r>
            <w:r>
              <w:rPr>
                <w:rFonts w:hint="eastAsia" w:asciiTheme="minorEastAsia" w:hAnsiTheme="minorEastAsia" w:eastAsiaTheme="minorEastAsia" w:cstheme="minorEastAsia"/>
                <w:b w:val="0"/>
                <w:bCs/>
                <w:kern w:val="2"/>
                <w:sz w:val="21"/>
                <w:szCs w:val="21"/>
                <w:lang w:val="en-US" w:eastAsia="zh-CN" w:bidi="ar-SA"/>
              </w:rPr>
              <w:t>。</w:t>
            </w:r>
          </w:p>
          <w:p w14:paraId="330069CC">
            <w:pPr>
              <w:widowControl w:val="0"/>
              <w:numPr>
                <w:ilvl w:val="0"/>
                <w:numId w:val="2"/>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检测方法：目标区域捕获及高通量测序技术。</w:t>
            </w:r>
          </w:p>
          <w:p w14:paraId="63AC97CC">
            <w:pPr>
              <w:widowControl w:val="0"/>
              <w:numPr>
                <w:ilvl w:val="0"/>
                <w:numId w:val="2"/>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检测样本类型：外周血、DNA、唾液。</w:t>
            </w:r>
          </w:p>
          <w:p w14:paraId="067C122C">
            <w:pPr>
              <w:widowControl w:val="0"/>
              <w:numPr>
                <w:ilvl w:val="0"/>
                <w:numId w:val="2"/>
              </w:numPr>
              <w:spacing w:line="360" w:lineRule="auto"/>
              <w:ind w:left="0" w:firstLine="420" w:firstLineChars="200"/>
              <w:jc w:val="both"/>
              <w:rPr>
                <w:rFonts w:hint="eastAsia" w:asciiTheme="minorEastAsia" w:hAnsiTheme="minorEastAsia" w:eastAsiaTheme="minorEastAsia" w:cstheme="minorEastAsia"/>
                <w:b w:val="0"/>
                <w:bCs/>
                <w:color w:val="FF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检测位点均参照ACMG解读指南规则判定为致病性或疑似致病性。</w:t>
            </w:r>
          </w:p>
          <w:p w14:paraId="380A9B78">
            <w:pPr>
              <w:widowControl w:val="0"/>
              <w:numPr>
                <w:ilvl w:val="0"/>
                <w:numId w:val="2"/>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能检测常见的CNV变异类型，包括进行性假肥大性肌营养不良DMD基因连续2个外显子及以上的缺失/重复、脊髓性肌肉萎缩症SMN1基因7号外显子缺失、地中海贫血HBA1/HBA2基因的常见5种大片段缺失（-SEA、-α3.7、-α4.2、FIL、THAI ）和地中海贫血HBB基因的常见3种大片段缺失（SEA-HPFH、Chinese、Taiwanese）。</w:t>
            </w:r>
          </w:p>
          <w:p w14:paraId="614A479D">
            <w:pPr>
              <w:widowControl w:val="0"/>
              <w:numPr>
                <w:ilvl w:val="0"/>
                <w:numId w:val="2"/>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对于能检测的CNV，需提供CNV检测性能报告书，灵敏度特异性不低于99%。</w:t>
            </w:r>
          </w:p>
          <w:p w14:paraId="6244C4FA">
            <w:pPr>
              <w:widowControl w:val="0"/>
              <w:numPr>
                <w:ilvl w:val="0"/>
                <w:numId w:val="2"/>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对NGS分析CNV流程中结果为阳性或灰区的样本提供金标准MLPA、Gap-PCR等方法的二次验证。</w:t>
            </w:r>
          </w:p>
          <w:p w14:paraId="651F006A">
            <w:pPr>
              <w:widowControl w:val="0"/>
              <w:numPr>
                <w:ilvl w:val="0"/>
                <w:numId w:val="2"/>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▲针对DMD DUP可做三代WGS验证（提供报告模板）。</w:t>
            </w:r>
          </w:p>
          <w:p w14:paraId="1D159C58">
            <w:pPr>
              <w:widowControl w:val="0"/>
              <w:numPr>
                <w:ilvl w:val="0"/>
                <w:numId w:val="2"/>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投标人参与全国单基因遗传病携带者筛查结果解释室间质量评价活动，需提供室间质评证书。</w:t>
            </w:r>
          </w:p>
          <w:p w14:paraId="168F549E">
            <w:pPr>
              <w:widowControl w:val="0"/>
              <w:numPr>
                <w:ilvl w:val="0"/>
                <w:numId w:val="2"/>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采用</w:t>
            </w:r>
            <w:r>
              <w:rPr>
                <w:rFonts w:hint="eastAsia" w:asciiTheme="minorEastAsia" w:hAnsiTheme="minorEastAsia" w:eastAsiaTheme="minorEastAsia" w:cstheme="minorEastAsia"/>
                <w:b w:val="0"/>
                <w:bCs/>
                <w:kern w:val="0"/>
                <w:sz w:val="21"/>
                <w:szCs w:val="21"/>
                <w:lang w:val="en-US" w:eastAsia="zh-CN" w:bidi="ar"/>
              </w:rPr>
              <w:t>线性扩增方法，无指数PCR累计错误。</w:t>
            </w:r>
          </w:p>
          <w:p w14:paraId="1F0934FE">
            <w:pPr>
              <w:widowControl w:val="0"/>
              <w:numPr>
                <w:ilvl w:val="0"/>
                <w:numId w:val="2"/>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▲检测设备具有NMPA认证，在临床上用于对来源于人体样本的脱氧核糖核酸（DNA）和核糖核酸（RNA）进行测序，以检测基因序列（提供注册证复印件）。</w:t>
            </w:r>
          </w:p>
          <w:p w14:paraId="1F431B76">
            <w:pPr>
              <w:widowControl w:val="0"/>
              <w:numPr>
                <w:ilvl w:val="0"/>
                <w:numId w:val="2"/>
              </w:numPr>
              <w:spacing w:line="360" w:lineRule="auto"/>
              <w:ind w:left="0" w:firstLine="420" w:firstLineChars="200"/>
              <w:jc w:val="both"/>
              <w:rPr>
                <w:rFonts w:hint="eastAsia" w:asciiTheme="minorEastAsia" w:hAnsiTheme="minorEastAsia" w:eastAsiaTheme="minorEastAsia" w:cstheme="minorEastAsia"/>
                <w:b w:val="0"/>
                <w:bCs/>
                <w:color w:val="FF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报告周期：收到合格样本15个工作日内。</w:t>
            </w:r>
          </w:p>
          <w:p w14:paraId="3A9A79CD">
            <w:pPr>
              <w:widowControl w:val="0"/>
              <w:numPr>
                <w:ilvl w:val="0"/>
                <w:numId w:val="2"/>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检测报告需包含所检测疾病的剩余风险相关信息。</w:t>
            </w:r>
          </w:p>
          <w:p w14:paraId="03EB04FA">
            <w:pPr>
              <w:widowControl w:val="0"/>
              <w:numPr>
                <w:ilvl w:val="0"/>
                <w:numId w:val="2"/>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▲针对地贫香港型HKαα与anti-HKαα，能够提供验证并出具报告，需提供脱敏版真实检测报告。</w:t>
            </w:r>
          </w:p>
          <w:p w14:paraId="0782BEFB">
            <w:pPr>
              <w:widowControl w:val="0"/>
              <w:numPr>
                <w:ilvl w:val="0"/>
                <w:numId w:val="2"/>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▲有牵头或参与国内已发表的携带者筛查专家共识</w:t>
            </w:r>
            <w:r>
              <w:rPr>
                <w:rFonts w:hint="eastAsia" w:asciiTheme="minorEastAsia" w:hAnsiTheme="minorEastAsia" w:eastAsiaTheme="minorEastAsia" w:cstheme="minorEastAsia"/>
                <w:b w:val="0"/>
                <w:bCs/>
                <w:color w:val="000000"/>
                <w:kern w:val="0"/>
                <w:sz w:val="21"/>
                <w:szCs w:val="21"/>
                <w:lang w:val="en-US" w:eastAsia="zh-CN" w:bidi="ar"/>
              </w:rPr>
              <w:t>（</w:t>
            </w:r>
            <w:r>
              <w:rPr>
                <w:rFonts w:hint="eastAsia" w:asciiTheme="minorEastAsia" w:hAnsiTheme="minorEastAsia" w:eastAsiaTheme="minorEastAsia" w:cstheme="minorEastAsia"/>
                <w:b w:val="0"/>
                <w:bCs/>
                <w:color w:val="000000"/>
                <w:kern w:val="2"/>
                <w:sz w:val="21"/>
                <w:szCs w:val="21"/>
                <w:lang w:val="en-US" w:eastAsia="zh-CN" w:bidi="ar-SA"/>
              </w:rPr>
              <w:t>若投标人为子公司的，可提供所属集团公司的佐证材料；若投标人为代理商的，可提供厂家的佐证材料</w:t>
            </w:r>
            <w:r>
              <w:rPr>
                <w:rFonts w:hint="eastAsia" w:asciiTheme="minorEastAsia" w:hAnsiTheme="minorEastAsia" w:eastAsiaTheme="minorEastAsia" w:cstheme="minorEastAsia"/>
                <w:b w:val="0"/>
                <w:bCs/>
                <w:color w:val="000000"/>
                <w:kern w:val="0"/>
                <w:sz w:val="21"/>
                <w:szCs w:val="21"/>
                <w:lang w:val="en-US" w:eastAsia="zh-CN" w:bidi="ar"/>
              </w:rPr>
              <w:t>）</w:t>
            </w:r>
            <w:r>
              <w:rPr>
                <w:rFonts w:hint="eastAsia" w:asciiTheme="minorEastAsia" w:hAnsiTheme="minorEastAsia" w:eastAsiaTheme="minorEastAsia" w:cstheme="minorEastAsia"/>
                <w:b w:val="0"/>
                <w:bCs/>
                <w:color w:val="000000"/>
                <w:kern w:val="2"/>
                <w:sz w:val="21"/>
                <w:szCs w:val="21"/>
                <w:lang w:val="en-US" w:eastAsia="zh-CN" w:bidi="ar-SA"/>
              </w:rPr>
              <w:t>。</w:t>
            </w:r>
          </w:p>
          <w:p w14:paraId="7C83D7F0">
            <w:pPr>
              <w:widowControl w:val="0"/>
              <w:numPr>
                <w:ilvl w:val="0"/>
                <w:numId w:val="2"/>
              </w:numPr>
              <w:spacing w:line="360" w:lineRule="auto"/>
              <w:ind w:left="0" w:firstLine="420" w:firstLineChars="200"/>
              <w:jc w:val="both"/>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w:t>
            </w:r>
            <w:r>
              <w:rPr>
                <w:rFonts w:hint="eastAsia" w:asciiTheme="minorEastAsia" w:hAnsiTheme="minorEastAsia" w:eastAsiaTheme="minorEastAsia" w:cstheme="minorEastAsia"/>
                <w:b w:val="0"/>
                <w:bCs/>
                <w:kern w:val="2"/>
                <w:sz w:val="21"/>
                <w:szCs w:val="21"/>
                <w:lang w:val="en-US" w:eastAsia="zh-CN" w:bidi="ar-SA"/>
              </w:rPr>
              <w:t>具有丰富的项目经验，</w:t>
            </w:r>
            <w:r>
              <w:rPr>
                <w:rFonts w:hint="eastAsia" w:asciiTheme="minorEastAsia" w:hAnsiTheme="minorEastAsia" w:eastAsiaTheme="minorEastAsia" w:cstheme="minorEastAsia"/>
                <w:b w:val="0"/>
                <w:bCs/>
                <w:color w:val="000000"/>
                <w:kern w:val="2"/>
                <w:sz w:val="21"/>
                <w:szCs w:val="21"/>
                <w:lang w:val="en-US" w:eastAsia="zh-CN" w:bidi="ar-SA"/>
              </w:rPr>
              <w:t>已完成单基因遗传病携带者筛查检测样本量超过20万例</w:t>
            </w:r>
            <w:r>
              <w:rPr>
                <w:rFonts w:hint="eastAsia" w:asciiTheme="minorEastAsia" w:hAnsiTheme="minorEastAsia" w:eastAsiaTheme="minorEastAsia" w:cstheme="minorEastAsia"/>
                <w:b w:val="0"/>
                <w:bCs/>
                <w:color w:val="000000"/>
                <w:kern w:val="0"/>
                <w:sz w:val="21"/>
                <w:szCs w:val="21"/>
                <w:lang w:val="en-US" w:eastAsia="zh-CN" w:bidi="ar"/>
              </w:rPr>
              <w:t>。（</w:t>
            </w:r>
            <w:r>
              <w:rPr>
                <w:rFonts w:hint="eastAsia" w:asciiTheme="minorEastAsia" w:hAnsiTheme="minorEastAsia" w:eastAsiaTheme="minorEastAsia" w:cstheme="minorEastAsia"/>
                <w:b w:val="0"/>
                <w:bCs/>
                <w:color w:val="000000"/>
                <w:kern w:val="2"/>
                <w:sz w:val="21"/>
                <w:szCs w:val="21"/>
                <w:lang w:val="en-US" w:eastAsia="zh-CN" w:bidi="ar-SA"/>
              </w:rPr>
              <w:t>若投标人为子公司的，可提供所属集团公司的佐证材料；若投标人为代理商的，可提供厂家的佐证材料</w:t>
            </w:r>
            <w:r>
              <w:rPr>
                <w:rFonts w:hint="eastAsia" w:asciiTheme="minorEastAsia" w:hAnsiTheme="minorEastAsia" w:eastAsiaTheme="minorEastAsia" w:cstheme="minorEastAsia"/>
                <w:b w:val="0"/>
                <w:bCs/>
                <w:color w:val="000000"/>
                <w:kern w:val="0"/>
                <w:sz w:val="21"/>
                <w:szCs w:val="21"/>
                <w:lang w:val="en-US" w:eastAsia="zh-CN" w:bidi="ar"/>
              </w:rPr>
              <w:t>）</w:t>
            </w:r>
            <w:r>
              <w:rPr>
                <w:rFonts w:hint="eastAsia" w:asciiTheme="minorEastAsia" w:hAnsiTheme="minorEastAsia" w:eastAsiaTheme="minorEastAsia" w:cstheme="minorEastAsia"/>
                <w:b w:val="0"/>
                <w:bCs/>
                <w:color w:val="000000"/>
                <w:kern w:val="2"/>
                <w:sz w:val="21"/>
                <w:szCs w:val="21"/>
                <w:lang w:val="en-US" w:eastAsia="zh-CN" w:bidi="ar-SA"/>
              </w:rPr>
              <w:t>。</w:t>
            </w:r>
          </w:p>
          <w:p w14:paraId="0295599C">
            <w:pPr>
              <w:pStyle w:val="6"/>
              <w:jc w:val="both"/>
              <w:rPr>
                <w:rFonts w:hint="eastAsia" w:asciiTheme="minorEastAsia" w:hAnsiTheme="minorEastAsia" w:eastAsiaTheme="minorEastAsia" w:cstheme="minorEastAsia"/>
                <w:b w:val="0"/>
                <w:bCs/>
                <w:sz w:val="21"/>
                <w:szCs w:val="21"/>
              </w:rPr>
            </w:pPr>
          </w:p>
        </w:tc>
      </w:tr>
      <w:tr w14:paraId="39B36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D336949">
            <w:pPr>
              <w:pStyle w:val="6"/>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说明</w:t>
            </w:r>
          </w:p>
        </w:tc>
        <w:tc>
          <w:tcPr>
            <w:tcW w:w="6229" w:type="dxa"/>
            <w:gridSpan w:val="2"/>
          </w:tcPr>
          <w:p w14:paraId="4B96AF86">
            <w:pPr>
              <w:pStyle w:val="6"/>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 xml:space="preserve"> 打“★”号条款为实质性条款，若有任何一条负偏离或不满足则导致投标无效。 </w:t>
            </w:r>
            <w:r>
              <w:rPr>
                <w:rFonts w:hint="eastAsia" w:asciiTheme="minorEastAsia" w:hAnsiTheme="minorEastAsia" w:eastAsiaTheme="minorEastAsia" w:cstheme="minorEastAsia"/>
                <w:b w:val="0"/>
                <w:bCs/>
              </w:rPr>
              <w:br w:type="textWrapping"/>
            </w:r>
            <w:r>
              <w:rPr>
                <w:rFonts w:hint="eastAsia" w:asciiTheme="minorEastAsia" w:hAnsiTheme="minorEastAsia" w:eastAsiaTheme="minorEastAsia" w:cstheme="minorEastAsia"/>
                <w:b w:val="0"/>
                <w:bCs/>
              </w:rPr>
              <w:t>打“▲”号条款为重要技术参数，若有部分“▲”条款未响应或不满足，将导致其响应性评审加重扣分，但不作为无效投标条款。</w:t>
            </w:r>
          </w:p>
        </w:tc>
      </w:tr>
    </w:tbl>
    <w:p w14:paraId="248EDCEC">
      <w:pPr>
        <w:rPr>
          <w:rFonts w:hint="eastAsia" w:asciiTheme="minorEastAsia" w:hAnsiTheme="minorEastAsia" w:eastAsiaTheme="minorEastAsia" w:cstheme="minorEastAsia"/>
          <w:b w:val="0"/>
          <w:bCs/>
        </w:rPr>
      </w:pPr>
    </w:p>
    <w:p w14:paraId="552BBF74">
      <w:pPr>
        <w:pStyle w:val="6"/>
        <w:rPr>
          <w:rFonts w:hint="default" w:ascii="Calibri" w:hAnsi="Calibri" w:cs="Calibri"/>
        </w:rPr>
      </w:pPr>
      <w:r>
        <w:rPr>
          <w:rFonts w:hint="default" w:ascii="Calibri" w:hAnsi="Calibri" w:cs="Calibri"/>
          <w:b/>
        </w:rPr>
        <w:t>附表：</w:t>
      </w:r>
      <w:r>
        <w:rPr>
          <w:rFonts w:hint="default" w:ascii="Calibri" w:hAnsi="Calibri" w:cs="Calibri"/>
          <w:b/>
          <w:lang w:eastAsia="zh-CN"/>
        </w:rPr>
        <w:t>新生儿基因筛查</w:t>
      </w:r>
      <w:r>
        <w:rPr>
          <w:rFonts w:hint="default" w:ascii="Calibri" w:hAnsi="Calibri" w:cs="Calibri"/>
          <w:b/>
        </w:rPr>
        <w:t>检测服务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14:paraId="45865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C325824">
            <w:pPr>
              <w:pStyle w:val="6"/>
              <w:rPr>
                <w:rFonts w:hint="default" w:ascii="Calibri" w:hAnsi="Calibri" w:eastAsia="宋体" w:cs="Calibri"/>
              </w:rPr>
            </w:pPr>
            <w:r>
              <w:rPr>
                <w:rFonts w:hint="default" w:ascii="Calibri" w:hAnsi="Calibri" w:eastAsia="宋体" w:cs="Calibri"/>
              </w:rPr>
              <w:t>参数性质</w:t>
            </w:r>
          </w:p>
        </w:tc>
        <w:tc>
          <w:tcPr>
            <w:tcW w:w="415" w:type="dxa"/>
          </w:tcPr>
          <w:p w14:paraId="0709E66B">
            <w:pPr>
              <w:pStyle w:val="6"/>
              <w:rPr>
                <w:rFonts w:hint="default" w:ascii="Calibri" w:hAnsi="Calibri" w:eastAsia="宋体" w:cs="Calibri"/>
              </w:rPr>
            </w:pPr>
            <w:r>
              <w:rPr>
                <w:rFonts w:hint="default" w:ascii="Calibri" w:hAnsi="Calibri" w:eastAsia="宋体" w:cs="Calibri"/>
              </w:rPr>
              <w:t>序号</w:t>
            </w:r>
          </w:p>
        </w:tc>
        <w:tc>
          <w:tcPr>
            <w:tcW w:w="5814" w:type="dxa"/>
          </w:tcPr>
          <w:p w14:paraId="4B63F56C">
            <w:pPr>
              <w:pStyle w:val="6"/>
              <w:rPr>
                <w:rFonts w:hint="default" w:ascii="Calibri" w:hAnsi="Calibri" w:eastAsia="宋体" w:cs="Calibri"/>
              </w:rPr>
            </w:pPr>
            <w:r>
              <w:rPr>
                <w:rFonts w:hint="default" w:ascii="Calibri" w:hAnsi="Calibri" w:eastAsia="宋体" w:cs="Calibri"/>
              </w:rPr>
              <w:t>具体技术(参数)要求</w:t>
            </w:r>
          </w:p>
        </w:tc>
      </w:tr>
      <w:tr w14:paraId="14368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0A61B4A">
            <w:pPr>
              <w:rPr>
                <w:rFonts w:ascii="Calibri" w:hAnsi="Calibri" w:eastAsia="宋体" w:cs="Calibri"/>
              </w:rPr>
            </w:pPr>
          </w:p>
        </w:tc>
        <w:tc>
          <w:tcPr>
            <w:tcW w:w="415" w:type="dxa"/>
          </w:tcPr>
          <w:p w14:paraId="61C29C3D">
            <w:pPr>
              <w:pStyle w:val="6"/>
              <w:rPr>
                <w:rFonts w:hint="default" w:ascii="Calibri" w:hAnsi="Calibri" w:eastAsia="宋体" w:cs="Calibri"/>
              </w:rPr>
            </w:pPr>
            <w:r>
              <w:rPr>
                <w:rFonts w:hint="default" w:ascii="Calibri" w:hAnsi="Calibri" w:eastAsia="宋体" w:cs="Calibri"/>
              </w:rPr>
              <w:t>1</w:t>
            </w:r>
          </w:p>
        </w:tc>
        <w:tc>
          <w:tcPr>
            <w:tcW w:w="5814" w:type="dxa"/>
          </w:tcPr>
          <w:p w14:paraId="6FB00CB6">
            <w:pPr>
              <w:rPr>
                <w:rFonts w:ascii="Calibri" w:hAnsi="Calibri" w:eastAsia="宋体" w:cs="Calibri"/>
                <w:b/>
                <w:sz w:val="20"/>
                <w:szCs w:val="20"/>
              </w:rPr>
            </w:pPr>
            <w:r>
              <w:rPr>
                <w:rFonts w:ascii="Calibri" w:hAnsi="Calibri" w:eastAsia="宋体" w:cs="Calibri"/>
                <w:b/>
                <w:sz w:val="20"/>
                <w:szCs w:val="20"/>
              </w:rPr>
              <w:t>2、新生儿基因筛查检测服务</w:t>
            </w:r>
          </w:p>
          <w:p w14:paraId="592A798A">
            <w:pPr>
              <w:spacing w:line="360" w:lineRule="auto"/>
              <w:ind w:left="425" w:hanging="425"/>
              <w:rPr>
                <w:rFonts w:ascii="Calibri" w:hAnsi="Calibri" w:eastAsia="宋体" w:cs="Calibri"/>
                <w:sz w:val="20"/>
                <w:szCs w:val="20"/>
              </w:rPr>
            </w:pPr>
            <w:r>
              <w:rPr>
                <w:rFonts w:ascii="Calibri" w:hAnsi="Calibri" w:eastAsia="宋体" w:cs="Calibri"/>
                <w:sz w:val="20"/>
                <w:szCs w:val="20"/>
              </w:rPr>
              <w:t>2.1技术参数</w:t>
            </w:r>
          </w:p>
          <w:p w14:paraId="6D3A08A2">
            <w:pPr>
              <w:pStyle w:val="6"/>
              <w:rPr>
                <w:rFonts w:hint="default" w:ascii="Calibri" w:hAnsi="Calibri" w:eastAsia="宋体" w:cs="Calibri"/>
              </w:rPr>
            </w:pPr>
            <w:r>
              <w:rPr>
                <w:rFonts w:hint="default" w:ascii="Calibri" w:hAnsi="Calibri" w:eastAsia="宋体" w:cs="Calibri"/>
                <w:lang w:eastAsia="zh-CN"/>
              </w:rPr>
              <w:t>（1）</w:t>
            </w:r>
            <w:r>
              <w:rPr>
                <w:rFonts w:hint="default" w:ascii="Calibri" w:hAnsi="Calibri" w:eastAsia="宋体" w:cs="Calibri"/>
              </w:rPr>
              <w:t>▲基因及病种数：</w:t>
            </w:r>
            <w:r>
              <w:rPr>
                <w:rFonts w:hint="eastAsia" w:ascii="Calibri" w:hAnsi="Calibri" w:eastAsia="宋体" w:cs="Calibri"/>
                <w:lang w:val="en-US" w:eastAsia="zh-CN"/>
              </w:rPr>
              <w:t>基因和疾病纳入需遵循《中国新生儿基因筛查专家共识》基因和疾病选择原则</w:t>
            </w:r>
            <w:r>
              <w:rPr>
                <w:rFonts w:hint="eastAsia" w:ascii="Calibri" w:hAnsi="Calibri" w:eastAsia="宋体" w:cs="Calibri"/>
                <w:lang w:eastAsia="zh-CN"/>
              </w:rPr>
              <w:t>，</w:t>
            </w:r>
            <w:r>
              <w:rPr>
                <w:rFonts w:hint="eastAsia" w:ascii="Calibri" w:hAnsi="Calibri" w:eastAsia="宋体" w:cs="Calibri"/>
                <w:lang w:val="en-US" w:eastAsia="zh-CN"/>
              </w:rPr>
              <w:t>纳入的疾病应该属于单基因遗传病疾病（除线粒体非综合征感音神经性耳聋之外），遗传模式包括常染色体隐性、常染色体显性、X染色体隐性遗传、X染色体显性遗传；能</w:t>
            </w:r>
            <w:r>
              <w:rPr>
                <w:rFonts w:hint="default" w:ascii="Calibri" w:hAnsi="Calibri" w:eastAsia="宋体" w:cs="Calibri"/>
              </w:rPr>
              <w:t>检测150余个基因，提示100余种单基因病的患病风险，相关病种需包括、α/β-地贫、SMA、DMD、X-连锁肾上腺脑白质营养不良、溶酶体贮积症（如戈谢病）、重症联合免疫缺陷病等</w:t>
            </w:r>
            <w:r>
              <w:rPr>
                <w:rFonts w:hint="default" w:ascii="Calibri" w:hAnsi="Calibri" w:eastAsia="宋体" w:cs="Calibri"/>
                <w:lang w:eastAsia="zh-CN"/>
              </w:rPr>
              <w:t>，</w:t>
            </w:r>
            <w:r>
              <w:rPr>
                <w:rFonts w:hint="default" w:ascii="Calibri" w:hAnsi="Calibri" w:eastAsia="宋体" w:cs="Calibri"/>
                <w:b/>
                <w:bCs/>
                <w:lang w:eastAsia="zh-CN"/>
              </w:rPr>
              <w:t>并提供</w:t>
            </w:r>
            <w:r>
              <w:rPr>
                <w:rFonts w:hint="default" w:ascii="Calibri" w:hAnsi="Calibri" w:eastAsia="宋体" w:cs="Calibri"/>
                <w:b/>
                <w:bCs/>
              </w:rPr>
              <w:t>疾病检测列表证明；</w:t>
            </w:r>
          </w:p>
          <w:p w14:paraId="1700D792">
            <w:pPr>
              <w:pStyle w:val="6"/>
              <w:rPr>
                <w:rFonts w:hint="default" w:ascii="Calibri" w:hAnsi="Calibri" w:eastAsia="宋体" w:cs="Calibri"/>
              </w:rPr>
            </w:pPr>
            <w:r>
              <w:rPr>
                <w:rFonts w:hint="default" w:ascii="Calibri" w:hAnsi="Calibri" w:eastAsia="宋体" w:cs="Calibri"/>
                <w:lang w:eastAsia="zh-CN"/>
              </w:rPr>
              <w:t>（2）</w:t>
            </w:r>
            <w:r>
              <w:rPr>
                <w:rFonts w:hint="default" w:ascii="Calibri" w:hAnsi="Calibri" w:eastAsia="宋体" w:cs="Calibri"/>
              </w:rPr>
              <w:t>检测技术：</w:t>
            </w:r>
            <w:bookmarkStart w:id="7" w:name="OLE_LINK6"/>
            <w:r>
              <w:rPr>
                <w:rFonts w:hint="default" w:ascii="Calibri" w:hAnsi="Calibri" w:eastAsia="宋体" w:cs="Calibri"/>
              </w:rPr>
              <w:t>采用主流的目标序列捕获法联合高通量测序技术</w:t>
            </w:r>
            <w:bookmarkEnd w:id="7"/>
            <w:r>
              <w:rPr>
                <w:rFonts w:hint="default" w:ascii="Calibri" w:hAnsi="Calibri" w:eastAsia="宋体" w:cs="Calibri"/>
                <w:lang w:eastAsia="zh-CN"/>
              </w:rPr>
              <w:t>，</w:t>
            </w:r>
            <w:r>
              <w:rPr>
                <w:rFonts w:hint="default" w:ascii="Calibri" w:hAnsi="Calibri" w:eastAsia="宋体" w:cs="Calibri"/>
                <w:b/>
                <w:bCs/>
                <w:lang w:eastAsia="zh-CN"/>
              </w:rPr>
              <w:t>并提供</w:t>
            </w:r>
            <w:r>
              <w:rPr>
                <w:rFonts w:hint="default" w:ascii="Calibri" w:hAnsi="Calibri" w:eastAsia="宋体" w:cs="Calibri"/>
                <w:b/>
                <w:bCs/>
              </w:rPr>
              <w:t>报告单证明</w:t>
            </w:r>
            <w:r>
              <w:rPr>
                <w:rFonts w:hint="default" w:ascii="Calibri" w:hAnsi="Calibri" w:eastAsia="宋体" w:cs="Calibri"/>
              </w:rPr>
              <w:t>；</w:t>
            </w:r>
          </w:p>
          <w:p w14:paraId="0E988AE5">
            <w:pPr>
              <w:pStyle w:val="6"/>
              <w:rPr>
                <w:rFonts w:hint="default" w:ascii="Calibri" w:hAnsi="Calibri" w:eastAsia="宋体" w:cs="Calibri"/>
              </w:rPr>
            </w:pPr>
            <w:r>
              <w:rPr>
                <w:rFonts w:hint="default" w:ascii="Calibri" w:hAnsi="Calibri" w:eastAsia="宋体" w:cs="Calibri"/>
                <w:lang w:eastAsia="zh-CN"/>
              </w:rPr>
              <w:t>（3）</w:t>
            </w:r>
            <w:r>
              <w:rPr>
                <w:rFonts w:hint="default" w:ascii="Calibri" w:hAnsi="Calibri" w:eastAsia="宋体" w:cs="Calibri"/>
              </w:rPr>
              <w:t>检测变异类型：检测单核苷酸变异、微小插入/缺失（≤10bp）、以及目标基因外显子水平的拷贝数变异，提供临床检测报告证明</w:t>
            </w:r>
            <w:r>
              <w:rPr>
                <w:rFonts w:hint="default" w:ascii="Calibri" w:hAnsi="Calibri" w:eastAsia="宋体" w:cs="Calibri"/>
                <w:lang w:eastAsia="zh-CN"/>
              </w:rPr>
              <w:t>，</w:t>
            </w:r>
            <w:r>
              <w:rPr>
                <w:rFonts w:hint="default" w:ascii="Calibri" w:hAnsi="Calibri" w:eastAsia="宋体" w:cs="Calibri"/>
                <w:b/>
                <w:bCs/>
                <w:lang w:eastAsia="zh-CN"/>
              </w:rPr>
              <w:t>并提供</w:t>
            </w:r>
            <w:r>
              <w:rPr>
                <w:rFonts w:hint="default" w:ascii="Calibri" w:hAnsi="Calibri" w:eastAsia="宋体" w:cs="Calibri"/>
                <w:b/>
                <w:bCs/>
              </w:rPr>
              <w:t>报告单证明</w:t>
            </w:r>
            <w:r>
              <w:rPr>
                <w:rFonts w:hint="default" w:ascii="Calibri" w:hAnsi="Calibri" w:eastAsia="宋体" w:cs="Calibri"/>
              </w:rPr>
              <w:t>；</w:t>
            </w:r>
          </w:p>
          <w:p w14:paraId="56A3267C">
            <w:pPr>
              <w:pStyle w:val="6"/>
              <w:rPr>
                <w:rFonts w:hint="default" w:ascii="Calibri" w:hAnsi="Calibri" w:eastAsia="宋体" w:cs="Calibri"/>
              </w:rPr>
            </w:pPr>
            <w:r>
              <w:rPr>
                <w:rFonts w:hint="default" w:ascii="Calibri" w:hAnsi="Calibri" w:eastAsia="宋体" w:cs="Calibri"/>
                <w:lang w:eastAsia="zh-CN"/>
              </w:rPr>
              <w:t>（4）</w:t>
            </w:r>
            <w:r>
              <w:rPr>
                <w:rFonts w:hint="default" w:ascii="Calibri" w:hAnsi="Calibri" w:eastAsia="宋体" w:cs="Calibri"/>
              </w:rPr>
              <w:t>特殊单病要求：（</w:t>
            </w:r>
            <w:r>
              <w:rPr>
                <w:rFonts w:hint="default" w:ascii="Calibri" w:hAnsi="Calibri" w:eastAsia="宋体" w:cs="Calibri"/>
                <w:b/>
                <w:bCs/>
                <w:lang w:eastAsia="zh-CN"/>
              </w:rPr>
              <w:t>提供</w:t>
            </w:r>
            <w:r>
              <w:rPr>
                <w:rFonts w:hint="default" w:ascii="Calibri" w:hAnsi="Calibri" w:eastAsia="宋体" w:cs="Calibri"/>
                <w:b/>
                <w:bCs/>
              </w:rPr>
              <w:t>报告单证明</w:t>
            </w:r>
            <w:r>
              <w:rPr>
                <w:rFonts w:hint="default" w:ascii="Calibri" w:hAnsi="Calibri" w:eastAsia="宋体" w:cs="Calibri"/>
              </w:rPr>
              <w:t>）</w:t>
            </w:r>
          </w:p>
          <w:p w14:paraId="7C4ED0A1">
            <w:pPr>
              <w:pStyle w:val="6"/>
              <w:rPr>
                <w:rFonts w:hint="default" w:ascii="Calibri" w:hAnsi="Calibri" w:eastAsia="宋体" w:cs="Calibri"/>
              </w:rPr>
            </w:pPr>
            <w:r>
              <w:rPr>
                <w:rFonts w:hint="default" w:ascii="Calibri" w:hAnsi="Calibri" w:eastAsia="宋体" w:cs="Calibri"/>
                <w:lang w:eastAsia="zh-CN"/>
              </w:rPr>
              <w:t>①</w:t>
            </w:r>
            <w:r>
              <w:rPr>
                <w:rFonts w:hint="default" w:ascii="Calibri" w:hAnsi="Calibri" w:eastAsia="宋体" w:cs="Calibri"/>
              </w:rPr>
              <w:t>▲地中海贫血（α-地贫）：检测HBA1/HBA2基因非同源区域SNV/InDel，覆盖中国人群常见致病CNV（-α3.7、-α4.2、--SEA、-αFIL、--THAI）；</w:t>
            </w:r>
          </w:p>
          <w:p w14:paraId="4BBD9AC2">
            <w:pPr>
              <w:pStyle w:val="6"/>
              <w:rPr>
                <w:rFonts w:hint="default" w:ascii="Calibri" w:hAnsi="Calibri" w:eastAsia="宋体" w:cs="Calibri"/>
              </w:rPr>
            </w:pPr>
            <w:r>
              <w:rPr>
                <w:rFonts w:hint="default" w:ascii="Calibri" w:hAnsi="Calibri" w:eastAsia="宋体" w:cs="Calibri"/>
                <w:lang w:eastAsia="zh-CN"/>
              </w:rPr>
              <w:t>②</w:t>
            </w:r>
            <w:r>
              <w:rPr>
                <w:rFonts w:hint="default" w:ascii="Calibri" w:hAnsi="Calibri" w:eastAsia="宋体" w:cs="Calibri"/>
              </w:rPr>
              <w:t>▲杜氏肌营养不良：检测DMD基因SNV/InDel，以及基因单个外显子水平的缺失重复；</w:t>
            </w:r>
          </w:p>
          <w:p w14:paraId="7C5CFE95">
            <w:pPr>
              <w:pStyle w:val="6"/>
              <w:rPr>
                <w:rFonts w:hint="default" w:ascii="Calibri" w:hAnsi="Calibri" w:eastAsia="宋体" w:cs="Calibri"/>
              </w:rPr>
            </w:pPr>
            <w:r>
              <w:rPr>
                <w:rFonts w:hint="default" w:ascii="Calibri" w:hAnsi="Calibri" w:eastAsia="宋体" w:cs="Calibri"/>
                <w:lang w:eastAsia="zh-CN"/>
              </w:rPr>
              <w:t>③</w:t>
            </w:r>
            <w:r>
              <w:rPr>
                <w:rFonts w:hint="default" w:ascii="Calibri" w:hAnsi="Calibri" w:eastAsia="宋体" w:cs="Calibri"/>
              </w:rPr>
              <w:t>▲SMA：检测SMN1基因7号外显子纯合缺失，较高准确提示SMN1基因7号外显子的杂合缺失和SMN2基因7号外显子和8号外显子的拷贝数情况；</w:t>
            </w:r>
          </w:p>
          <w:p w14:paraId="6E747C55">
            <w:pPr>
              <w:pStyle w:val="6"/>
              <w:rPr>
                <w:rFonts w:hint="default" w:ascii="Calibri" w:hAnsi="Calibri" w:eastAsia="宋体" w:cs="Calibri"/>
              </w:rPr>
            </w:pPr>
            <w:r>
              <w:rPr>
                <w:rFonts w:hint="default" w:ascii="Calibri" w:hAnsi="Calibri" w:eastAsia="宋体" w:cs="Calibri"/>
                <w:lang w:eastAsia="zh-CN"/>
              </w:rPr>
              <w:t>④</w:t>
            </w:r>
            <w:r>
              <w:rPr>
                <w:rFonts w:hint="default" w:ascii="Calibri" w:hAnsi="Calibri" w:eastAsia="宋体" w:cs="Calibri"/>
              </w:rPr>
              <w:t xml:space="preserve">▲希特林蛋白缺乏症：检测SLC25A13基因IVS16ins3kb，IVS 4ins6kb，c.1638_1660dup这三种特殊变异； </w:t>
            </w:r>
          </w:p>
          <w:p w14:paraId="05EE324B">
            <w:pPr>
              <w:pStyle w:val="6"/>
              <w:numPr>
                <w:ilvl w:val="0"/>
                <w:numId w:val="3"/>
              </w:numPr>
              <w:rPr>
                <w:rFonts w:hint="default" w:ascii="Calibri" w:hAnsi="Calibri" w:eastAsia="宋体" w:cs="Calibri"/>
              </w:rPr>
            </w:pPr>
            <w:r>
              <w:rPr>
                <w:rFonts w:hint="default" w:ascii="Calibri" w:hAnsi="Calibri" w:eastAsia="宋体" w:cs="Calibri"/>
              </w:rPr>
              <w:t>▲质控要求：高通量测序数据质控应达到平均测序深度不低于350X，目标区域覆盖度&gt;99%，目标区域大于20X，比例&gt;99%； Q20 比例≥ 99%、Q30比例 ≥90%；基因组比对率 &gt; 99%；捕获效率＞65%</w:t>
            </w:r>
            <w:r>
              <w:rPr>
                <w:rFonts w:hint="default" w:ascii="Calibri" w:hAnsi="Calibri" w:eastAsia="宋体" w:cs="Calibri"/>
                <w:lang w:eastAsia="zh-CN"/>
              </w:rPr>
              <w:t>，</w:t>
            </w:r>
            <w:r>
              <w:rPr>
                <w:rFonts w:hint="default" w:ascii="Calibri" w:hAnsi="Calibri" w:eastAsia="宋体" w:cs="Calibri"/>
                <w:b/>
                <w:bCs/>
                <w:lang w:eastAsia="zh-CN"/>
              </w:rPr>
              <w:t>提供</w:t>
            </w:r>
            <w:r>
              <w:rPr>
                <w:rFonts w:hint="default" w:ascii="Calibri" w:hAnsi="Calibri" w:eastAsia="宋体" w:cs="Calibri"/>
                <w:b/>
                <w:bCs/>
              </w:rPr>
              <w:t>QC表证明</w:t>
            </w:r>
            <w:r>
              <w:rPr>
                <w:rFonts w:hint="default" w:ascii="Calibri" w:hAnsi="Calibri" w:eastAsia="宋体" w:cs="Calibri"/>
              </w:rPr>
              <w:t>；</w:t>
            </w:r>
          </w:p>
          <w:p w14:paraId="2B356BCB">
            <w:pPr>
              <w:pStyle w:val="6"/>
              <w:numPr>
                <w:ilvl w:val="255"/>
                <w:numId w:val="0"/>
              </w:numPr>
              <w:rPr>
                <w:rFonts w:hint="default" w:ascii="Calibri" w:hAnsi="Calibri" w:eastAsia="宋体" w:cs="Calibri"/>
              </w:rPr>
            </w:pPr>
            <w:r>
              <w:rPr>
                <w:rFonts w:hint="default" w:ascii="Calibri" w:hAnsi="Calibri" w:eastAsia="宋体" w:cs="Calibri"/>
                <w:lang w:eastAsia="zh-CN"/>
              </w:rPr>
              <w:t>（6）</w:t>
            </w:r>
            <w:r>
              <w:rPr>
                <w:rFonts w:hint="default" w:ascii="Calibri" w:hAnsi="Calibri" w:eastAsia="宋体" w:cs="Calibri"/>
              </w:rPr>
              <w:t>探针覆盖范围：检测探针覆盖范围应至少包括目标基因全部外显子编码区域，和HGMD及ClinVar中判断为致病或疑似致病的深度内含子变异优先考虑</w:t>
            </w:r>
            <w:r>
              <w:rPr>
                <w:rFonts w:hint="default" w:ascii="Calibri" w:hAnsi="Calibri" w:eastAsia="宋体" w:cs="Calibri"/>
                <w:lang w:eastAsia="zh-CN"/>
              </w:rPr>
              <w:t>，</w:t>
            </w:r>
            <w:r>
              <w:rPr>
                <w:rFonts w:hint="default" w:ascii="Calibri" w:hAnsi="Calibri" w:eastAsia="宋体" w:cs="Calibri"/>
                <w:b/>
                <w:bCs/>
                <w:lang w:eastAsia="zh-CN"/>
              </w:rPr>
              <w:t>并提供</w:t>
            </w:r>
            <w:r>
              <w:rPr>
                <w:rFonts w:hint="default" w:ascii="Calibri" w:hAnsi="Calibri" w:eastAsia="宋体" w:cs="Calibri"/>
                <w:b/>
                <w:bCs/>
              </w:rPr>
              <w:t>内含子列表证明</w:t>
            </w:r>
            <w:r>
              <w:rPr>
                <w:rFonts w:hint="default" w:ascii="Calibri" w:hAnsi="Calibri" w:eastAsia="宋体" w:cs="Calibri"/>
              </w:rPr>
              <w:t>；</w:t>
            </w:r>
          </w:p>
          <w:p w14:paraId="4BC943A8">
            <w:pPr>
              <w:pStyle w:val="6"/>
              <w:rPr>
                <w:rFonts w:hint="default" w:ascii="Calibri" w:hAnsi="Calibri" w:eastAsia="宋体" w:cs="Calibri"/>
              </w:rPr>
            </w:pPr>
            <w:r>
              <w:rPr>
                <w:rFonts w:hint="default" w:ascii="Calibri" w:hAnsi="Calibri" w:eastAsia="宋体" w:cs="Calibri"/>
                <w:lang w:eastAsia="zh-CN"/>
              </w:rPr>
              <w:t>（7）</w:t>
            </w:r>
            <w:r>
              <w:rPr>
                <w:rFonts w:hint="default" w:ascii="Calibri" w:hAnsi="Calibri" w:eastAsia="宋体" w:cs="Calibri"/>
              </w:rPr>
              <w:t>▲探针设计：要求总捕获区间不小于2 Mb，探针设计参考CCDS、RefSeq、Ensembl、GENCODE、Clinvar等数据库；</w:t>
            </w:r>
          </w:p>
          <w:p w14:paraId="0FCFE60A">
            <w:pPr>
              <w:pStyle w:val="6"/>
              <w:rPr>
                <w:rFonts w:hint="default" w:ascii="Calibri" w:hAnsi="Calibri" w:eastAsia="宋体" w:cs="Calibri"/>
              </w:rPr>
            </w:pPr>
            <w:r>
              <w:rPr>
                <w:rFonts w:hint="default" w:ascii="Calibri" w:hAnsi="Calibri" w:eastAsia="宋体" w:cs="Calibri"/>
                <w:lang w:eastAsia="zh-CN"/>
              </w:rPr>
              <w:t>（8）</w:t>
            </w:r>
            <w:r>
              <w:rPr>
                <w:rFonts w:hint="default" w:ascii="Calibri" w:hAnsi="Calibri" w:eastAsia="宋体" w:cs="Calibri"/>
              </w:rPr>
              <w:t>报告原则：按照ACMG及ClinGen框架解读、实时更新新生儿基因筛查致病变异数据库，收录致病、疑似致病变异位点数，并报告检测范围内的所有致病和疑似致病位点；</w:t>
            </w:r>
          </w:p>
          <w:p w14:paraId="29A3F052">
            <w:pPr>
              <w:spacing w:line="360" w:lineRule="auto"/>
              <w:ind w:left="425" w:hanging="425"/>
              <w:jc w:val="left"/>
              <w:rPr>
                <w:rFonts w:ascii="Calibri" w:hAnsi="Calibri" w:eastAsia="宋体" w:cs="Calibri"/>
                <w:sz w:val="20"/>
                <w:szCs w:val="20"/>
              </w:rPr>
            </w:pPr>
            <w:r>
              <w:rPr>
                <w:rFonts w:ascii="Calibri" w:hAnsi="Calibri" w:eastAsia="宋体" w:cs="Calibri"/>
                <w:sz w:val="20"/>
                <w:szCs w:val="20"/>
              </w:rPr>
              <w:t>2、服务参数：</w:t>
            </w:r>
          </w:p>
          <w:p w14:paraId="3BC8EEBF">
            <w:pPr>
              <w:pStyle w:val="6"/>
              <w:rPr>
                <w:rFonts w:hint="default" w:ascii="Calibri" w:hAnsi="Calibri" w:eastAsia="宋体" w:cs="Calibri"/>
              </w:rPr>
            </w:pPr>
            <w:r>
              <w:rPr>
                <w:rFonts w:hint="default" w:ascii="Calibri" w:hAnsi="Calibri" w:eastAsia="宋体" w:cs="Calibri"/>
                <w:lang w:eastAsia="zh-CN"/>
              </w:rPr>
              <w:t>（1）</w:t>
            </w:r>
            <w:r>
              <w:rPr>
                <w:rFonts w:hint="default" w:ascii="Calibri" w:hAnsi="Calibri" w:eastAsia="宋体" w:cs="Calibri"/>
              </w:rPr>
              <w:t>样本类型：2个8mm滤纸干血片或≥1ml全血</w:t>
            </w:r>
            <w:r>
              <w:rPr>
                <w:rFonts w:hint="default" w:ascii="Calibri" w:hAnsi="Calibri" w:eastAsia="宋体" w:cs="Calibri"/>
                <w:lang w:eastAsia="zh-CN"/>
              </w:rPr>
              <w:t>，</w:t>
            </w:r>
            <w:r>
              <w:rPr>
                <w:rFonts w:hint="default" w:ascii="Calibri" w:hAnsi="Calibri" w:eastAsia="宋体" w:cs="Calibri"/>
                <w:b/>
                <w:bCs/>
                <w:lang w:eastAsia="zh-CN"/>
              </w:rPr>
              <w:t>提供产品证明彩页</w:t>
            </w:r>
            <w:r>
              <w:rPr>
                <w:rFonts w:hint="default" w:ascii="Calibri" w:hAnsi="Calibri" w:eastAsia="宋体" w:cs="Calibri"/>
              </w:rPr>
              <w:t>；</w:t>
            </w:r>
          </w:p>
          <w:p w14:paraId="375FF60E">
            <w:pPr>
              <w:pStyle w:val="6"/>
              <w:rPr>
                <w:rFonts w:hint="default" w:ascii="Calibri" w:hAnsi="Calibri" w:eastAsia="宋体" w:cs="Calibri"/>
              </w:rPr>
            </w:pPr>
            <w:r>
              <w:rPr>
                <w:rFonts w:hint="default" w:ascii="Calibri" w:hAnsi="Calibri" w:eastAsia="宋体" w:cs="Calibri"/>
                <w:lang w:eastAsia="zh-CN"/>
              </w:rPr>
              <w:t>（2）</w:t>
            </w:r>
            <w:r>
              <w:rPr>
                <w:rFonts w:hint="default" w:ascii="Calibri" w:hAnsi="Calibri" w:eastAsia="宋体" w:cs="Calibri"/>
              </w:rPr>
              <w:t xml:space="preserve"> 报告周期：自收到标本并验收合格后1</w:t>
            </w:r>
            <w:r>
              <w:rPr>
                <w:rFonts w:hint="default" w:ascii="Calibri" w:hAnsi="Calibri" w:eastAsia="宋体" w:cs="Calibri"/>
                <w:lang w:eastAsia="zh-CN"/>
              </w:rPr>
              <w:t>5</w:t>
            </w:r>
            <w:r>
              <w:rPr>
                <w:rFonts w:hint="default" w:ascii="Calibri" w:hAnsi="Calibri" w:eastAsia="宋体" w:cs="Calibri"/>
              </w:rPr>
              <w:t>个工作日</w:t>
            </w:r>
            <w:r>
              <w:rPr>
                <w:rFonts w:hint="default" w:ascii="Calibri" w:hAnsi="Calibri" w:eastAsia="宋体" w:cs="Calibri"/>
                <w:lang w:eastAsia="zh-CN"/>
              </w:rPr>
              <w:t>，</w:t>
            </w:r>
            <w:r>
              <w:rPr>
                <w:rFonts w:hint="default" w:ascii="Calibri" w:hAnsi="Calibri" w:eastAsia="宋体" w:cs="Calibri"/>
                <w:b/>
                <w:bCs/>
                <w:lang w:eastAsia="zh-CN"/>
              </w:rPr>
              <w:t>提供产品证明彩页</w:t>
            </w:r>
            <w:r>
              <w:rPr>
                <w:rFonts w:hint="default" w:ascii="Calibri" w:hAnsi="Calibri" w:eastAsia="宋体" w:cs="Calibri"/>
              </w:rPr>
              <w:t>；</w:t>
            </w:r>
          </w:p>
          <w:p w14:paraId="2C41D1A3">
            <w:pPr>
              <w:pStyle w:val="6"/>
              <w:rPr>
                <w:rFonts w:hint="default" w:ascii="Calibri" w:hAnsi="Calibri" w:eastAsia="宋体" w:cs="Calibri"/>
              </w:rPr>
            </w:pPr>
            <w:r>
              <w:rPr>
                <w:rFonts w:hint="default" w:ascii="Calibri" w:hAnsi="Calibri" w:eastAsia="宋体" w:cs="Calibri"/>
                <w:lang w:eastAsia="zh-CN"/>
              </w:rPr>
              <w:t>（3）</w:t>
            </w:r>
            <w:r>
              <w:rPr>
                <w:rFonts w:hint="default" w:ascii="Calibri" w:hAnsi="Calibri" w:eastAsia="宋体" w:cs="Calibri"/>
              </w:rPr>
              <w:t>验证平台：具备对筛查阳性结果进行验证的平台，至少包含Sanger、MLPA、LR-PCR、 TP-PCR、及Gap-PCR等检测技术，</w:t>
            </w:r>
            <w:r>
              <w:rPr>
                <w:rFonts w:hint="default" w:ascii="Calibri" w:hAnsi="Calibri" w:eastAsia="宋体" w:cs="Calibri"/>
                <w:b/>
                <w:bCs/>
              </w:rPr>
              <w:t>提供实验室检测病例或相关证明材料</w:t>
            </w:r>
            <w:r>
              <w:rPr>
                <w:rFonts w:hint="default" w:ascii="Calibri" w:hAnsi="Calibri" w:eastAsia="宋体" w:cs="Calibri"/>
              </w:rPr>
              <w:t>；</w:t>
            </w:r>
          </w:p>
          <w:p w14:paraId="1D1B747A">
            <w:pPr>
              <w:pStyle w:val="6"/>
              <w:rPr>
                <w:rFonts w:hint="default" w:ascii="Calibri" w:hAnsi="Calibri" w:eastAsia="宋体" w:cs="Calibri"/>
              </w:rPr>
            </w:pPr>
            <w:r>
              <w:rPr>
                <w:rFonts w:hint="default" w:ascii="Calibri" w:hAnsi="Calibri" w:eastAsia="宋体" w:cs="Calibri"/>
                <w:lang w:eastAsia="zh-CN"/>
              </w:rPr>
              <w:t>（4）</w:t>
            </w:r>
            <w:r>
              <w:rPr>
                <w:rFonts w:hint="default" w:ascii="Calibri" w:hAnsi="Calibri" w:eastAsia="宋体" w:cs="Calibri"/>
              </w:rPr>
              <w:t>▲遗传咨询工具：提供筛查疾病谱各个疾病的介绍、诊断、治疗及新生儿基因筛查结果遗传咨询的文字资料及培训服务</w:t>
            </w:r>
            <w:r>
              <w:rPr>
                <w:rFonts w:hint="default" w:ascii="Calibri" w:hAnsi="Calibri" w:eastAsia="宋体" w:cs="Calibri"/>
                <w:lang w:eastAsia="zh-CN"/>
              </w:rPr>
              <w:t>，</w:t>
            </w:r>
            <w:r>
              <w:rPr>
                <w:rFonts w:hint="default" w:ascii="Calibri" w:hAnsi="Calibri" w:eastAsia="宋体" w:cs="Calibri"/>
                <w:b/>
                <w:bCs/>
                <w:lang w:eastAsia="zh-CN"/>
              </w:rPr>
              <w:t>提供产品手册证明材料</w:t>
            </w:r>
            <w:r>
              <w:rPr>
                <w:rFonts w:hint="default" w:ascii="Calibri" w:hAnsi="Calibri" w:eastAsia="宋体" w:cs="Calibri"/>
              </w:rPr>
              <w:t>；</w:t>
            </w:r>
          </w:p>
          <w:p w14:paraId="349468BB">
            <w:pPr>
              <w:pStyle w:val="6"/>
              <w:rPr>
                <w:rFonts w:hint="default" w:ascii="Calibri" w:hAnsi="Calibri" w:eastAsia="宋体" w:cs="Calibri"/>
              </w:rPr>
            </w:pPr>
            <w:r>
              <w:rPr>
                <w:rFonts w:hint="default" w:ascii="Calibri" w:hAnsi="Calibri" w:eastAsia="宋体" w:cs="Calibri"/>
                <w:lang w:eastAsia="zh-CN"/>
              </w:rPr>
              <w:t>（5）</w:t>
            </w:r>
            <w:r>
              <w:rPr>
                <w:rFonts w:hint="default" w:ascii="Calibri" w:hAnsi="Calibri" w:eastAsia="宋体" w:cs="Calibri"/>
              </w:rPr>
              <w:t>数据返还及储存：以样本接收完成录入为起点，≤</w:t>
            </w:r>
            <w:r>
              <w:rPr>
                <w:rFonts w:hint="default" w:ascii="Calibri" w:hAnsi="Calibri" w:eastAsia="宋体" w:cs="Calibri"/>
                <w:lang w:eastAsia="zh-CN"/>
              </w:rPr>
              <w:t>20</w:t>
            </w:r>
            <w:r>
              <w:rPr>
                <w:rFonts w:hint="default" w:ascii="Calibri" w:hAnsi="Calibri" w:eastAsia="宋体" w:cs="Calibri"/>
              </w:rPr>
              <w:t>个工作日交付数据，至少交付FastQ、cram、vcf、CNV、注释后分析文件结果文件。数据交付后cram文件不少于6个月免费数据存储服务；</w:t>
            </w:r>
          </w:p>
          <w:p w14:paraId="311599DC">
            <w:pPr>
              <w:pStyle w:val="6"/>
              <w:rPr>
                <w:rFonts w:hint="default" w:ascii="Calibri" w:hAnsi="Calibri" w:eastAsia="宋体" w:cs="Calibri"/>
              </w:rPr>
            </w:pPr>
            <w:r>
              <w:rPr>
                <w:rFonts w:hint="default" w:ascii="Calibri" w:hAnsi="Calibri" w:eastAsia="宋体" w:cs="Calibri"/>
                <w:lang w:eastAsia="zh-CN"/>
              </w:rPr>
              <w:t>（6）</w:t>
            </w:r>
            <w:r>
              <w:rPr>
                <w:rFonts w:hint="default" w:ascii="Calibri" w:hAnsi="Calibri" w:eastAsia="宋体" w:cs="Calibri"/>
              </w:rPr>
              <w:t>▲辅助诊断检测能力：具备罕见遗传病诊疗多技术平台及针对复杂遗传病的诊断能力，包括FISH、OGM、甲基化-MLPA、染色体高分辨核型等技术平台，且一代测序位点验证服务、MLPA等常规验证服务需在7个工作日之内出报告</w:t>
            </w:r>
            <w:r>
              <w:rPr>
                <w:rFonts w:hint="default" w:ascii="Calibri" w:hAnsi="Calibri" w:eastAsia="宋体" w:cs="Calibri"/>
                <w:lang w:eastAsia="zh-CN"/>
              </w:rPr>
              <w:t>，</w:t>
            </w:r>
            <w:r>
              <w:rPr>
                <w:rFonts w:hint="default" w:ascii="Calibri" w:hAnsi="Calibri" w:eastAsia="宋体" w:cs="Calibri"/>
                <w:b/>
                <w:bCs/>
                <w:lang w:eastAsia="zh-CN"/>
              </w:rPr>
              <w:t>提供</w:t>
            </w:r>
            <w:r>
              <w:rPr>
                <w:rFonts w:hint="default" w:ascii="Calibri" w:hAnsi="Calibri" w:eastAsia="宋体" w:cs="Calibri"/>
                <w:b/>
                <w:bCs/>
              </w:rPr>
              <w:t>检测报告单证明</w:t>
            </w:r>
            <w:r>
              <w:rPr>
                <w:rFonts w:hint="default" w:ascii="Calibri" w:hAnsi="Calibri" w:eastAsia="宋体" w:cs="Calibri"/>
              </w:rPr>
              <w:t>；</w:t>
            </w:r>
          </w:p>
          <w:p w14:paraId="67B1EA11">
            <w:pPr>
              <w:pStyle w:val="6"/>
              <w:rPr>
                <w:rFonts w:hint="default" w:ascii="Calibri" w:hAnsi="Calibri" w:eastAsia="宋体" w:cs="Calibri"/>
              </w:rPr>
            </w:pPr>
            <w:r>
              <w:rPr>
                <w:rFonts w:hint="default" w:ascii="Calibri" w:hAnsi="Calibri" w:eastAsia="宋体" w:cs="Calibri"/>
                <w:lang w:eastAsia="zh-CN"/>
              </w:rPr>
              <w:t>（7）▲</w:t>
            </w:r>
            <w:r>
              <w:rPr>
                <w:rFonts w:hint="default" w:ascii="Calibri" w:hAnsi="Calibri" w:eastAsia="宋体" w:cs="Calibri"/>
              </w:rPr>
              <w:t>项目管理（新筛中心）：提供</w:t>
            </w:r>
            <w:r>
              <w:rPr>
                <w:rFonts w:hint="eastAsia" w:ascii="Calibri" w:hAnsi="Calibri" w:eastAsia="宋体" w:cs="Calibri"/>
                <w:lang w:eastAsia="zh-CN"/>
              </w:rPr>
              <w:t>最新的</w:t>
            </w:r>
            <w:r>
              <w:rPr>
                <w:rFonts w:hint="default" w:ascii="Calibri" w:hAnsi="Calibri" w:eastAsia="宋体" w:cs="Calibri"/>
              </w:rPr>
              <w:t>与现有新生儿疾病筛查系统匹配的信息软件，能够实现与现有新筛同步开单、新生儿基因检测结果自动回传，质谱与基因筛查结果同步呈现，并能与现有新筛病案统一管理，对筛查阳性病例进行诊断管理和随访管理，对确诊病例进行治疗管理</w:t>
            </w:r>
            <w:r>
              <w:rPr>
                <w:rFonts w:hint="default" w:ascii="Calibri" w:hAnsi="Calibri" w:eastAsia="宋体" w:cs="Calibri"/>
                <w:lang w:eastAsia="zh-CN"/>
              </w:rPr>
              <w:t>，</w:t>
            </w:r>
            <w:r>
              <w:rPr>
                <w:rFonts w:hint="default" w:ascii="Calibri" w:hAnsi="Calibri" w:eastAsia="宋体" w:cs="Calibri"/>
                <w:b/>
                <w:bCs/>
                <w:lang w:eastAsia="zh-CN"/>
              </w:rPr>
              <w:t>提供信息软件系统截图</w:t>
            </w:r>
            <w:r>
              <w:rPr>
                <w:rFonts w:hint="default" w:ascii="Calibri" w:hAnsi="Calibri" w:eastAsia="宋体" w:cs="Calibri"/>
              </w:rPr>
              <w:t>；</w:t>
            </w:r>
          </w:p>
          <w:p w14:paraId="2C568D46">
            <w:pPr>
              <w:pStyle w:val="6"/>
              <w:rPr>
                <w:rFonts w:hint="default" w:ascii="Calibri" w:hAnsi="Calibri" w:eastAsia="宋体" w:cs="Calibri"/>
                <w:lang w:eastAsia="zh-CN"/>
              </w:rPr>
            </w:pPr>
            <w:r>
              <w:rPr>
                <w:rFonts w:hint="default" w:ascii="Calibri" w:hAnsi="Calibri" w:eastAsia="宋体" w:cs="Calibri"/>
                <w:lang w:eastAsia="zh-CN"/>
              </w:rPr>
              <w:t>（8）▲</w:t>
            </w:r>
            <w:r>
              <w:rPr>
                <w:rFonts w:hint="default" w:ascii="Calibri" w:hAnsi="Calibri" w:eastAsia="宋体" w:cs="Calibri"/>
              </w:rPr>
              <w:t>生信分析与报告系统：提供用户界面友好的遗传分析在线平台，实现该项目生信分析与报告的全自动化，并能够向用户提供在线账号开放分析过程</w:t>
            </w:r>
            <w:r>
              <w:rPr>
                <w:rFonts w:hint="default" w:ascii="Calibri" w:hAnsi="Calibri" w:eastAsia="宋体" w:cs="Calibri"/>
                <w:lang w:eastAsia="zh-CN"/>
              </w:rPr>
              <w:t>，</w:t>
            </w:r>
            <w:r>
              <w:rPr>
                <w:rFonts w:hint="default" w:ascii="Calibri" w:hAnsi="Calibri" w:eastAsia="宋体" w:cs="Calibri"/>
                <w:b/>
                <w:bCs/>
                <w:lang w:eastAsia="zh-CN"/>
              </w:rPr>
              <w:t>提供</w:t>
            </w:r>
            <w:r>
              <w:rPr>
                <w:rFonts w:hint="default" w:ascii="Calibri" w:hAnsi="Calibri" w:eastAsia="宋体" w:cs="Calibri"/>
                <w:b/>
                <w:bCs/>
              </w:rPr>
              <w:t>生信分析与报告系统</w:t>
            </w:r>
            <w:r>
              <w:rPr>
                <w:rFonts w:hint="default" w:ascii="Calibri" w:hAnsi="Calibri" w:eastAsia="宋体" w:cs="Calibri"/>
                <w:b/>
                <w:bCs/>
                <w:lang w:eastAsia="zh-CN"/>
              </w:rPr>
              <w:t>截图</w:t>
            </w:r>
            <w:r>
              <w:rPr>
                <w:rFonts w:hint="default" w:ascii="Calibri" w:hAnsi="Calibri" w:eastAsia="宋体" w:cs="Calibri"/>
              </w:rPr>
              <w:t>；</w:t>
            </w:r>
          </w:p>
          <w:p w14:paraId="58226A63">
            <w:pPr>
              <w:pStyle w:val="6"/>
              <w:rPr>
                <w:rFonts w:hint="default" w:ascii="Calibri" w:hAnsi="Calibri" w:eastAsia="宋体" w:cs="Calibri"/>
              </w:rPr>
            </w:pPr>
            <w:r>
              <w:rPr>
                <w:rFonts w:hint="default" w:ascii="Calibri" w:hAnsi="Calibri" w:eastAsia="宋体" w:cs="Calibri"/>
                <w:lang w:eastAsia="zh-CN"/>
              </w:rPr>
              <w:t>（9）</w:t>
            </w:r>
            <w:r>
              <w:rPr>
                <w:rFonts w:hint="default" w:ascii="Calibri" w:hAnsi="Calibri" w:eastAsia="宋体" w:cs="Calibri"/>
              </w:rPr>
              <w:t>样本运输物流：提供临床检测2-8℃专用冷链物流体系，可实时温控、GPS跟踪临床样本，能有效管控样本检验分析前质量，实现单个样本全生命流程管理</w:t>
            </w:r>
            <w:r>
              <w:rPr>
                <w:rFonts w:hint="default" w:ascii="Calibri" w:hAnsi="Calibri" w:eastAsia="宋体" w:cs="Calibri"/>
                <w:lang w:eastAsia="zh-CN"/>
              </w:rPr>
              <w:t>，</w:t>
            </w:r>
            <w:r>
              <w:rPr>
                <w:rFonts w:hint="default" w:ascii="Calibri" w:hAnsi="Calibri" w:eastAsia="宋体" w:cs="Calibri"/>
                <w:b/>
                <w:bCs/>
                <w:lang w:eastAsia="zh-CN"/>
              </w:rPr>
              <w:t>提供冷链物流运输方案</w:t>
            </w:r>
            <w:r>
              <w:rPr>
                <w:rFonts w:hint="default" w:ascii="Calibri" w:hAnsi="Calibri" w:eastAsia="宋体" w:cs="Calibri"/>
              </w:rPr>
              <w:t>；</w:t>
            </w:r>
          </w:p>
          <w:p w14:paraId="121B5365">
            <w:pPr>
              <w:pStyle w:val="6"/>
              <w:rPr>
                <w:rFonts w:hint="default" w:ascii="Calibri" w:hAnsi="Calibri" w:eastAsia="宋体" w:cs="Calibri"/>
              </w:rPr>
            </w:pPr>
            <w:r>
              <w:rPr>
                <w:rFonts w:hint="default" w:ascii="Calibri" w:hAnsi="Calibri" w:eastAsia="宋体" w:cs="Calibri"/>
                <w:lang w:eastAsia="zh-CN"/>
              </w:rPr>
              <w:t>（10）</w:t>
            </w:r>
            <w:r>
              <w:rPr>
                <w:rFonts w:hint="default" w:ascii="Calibri" w:hAnsi="Calibri" w:eastAsia="宋体" w:cs="Calibri"/>
              </w:rPr>
              <w:t>院内本地化检测交付能力：可提供院内本地化遗传病高通量测序数据分析与解读方案，帮助院内实现完整的从样本前处理、提取、实验测序、分析质控到解读报告的全流程操作，可在离线断网状态完成系统部署与所有生产分析工作</w:t>
            </w:r>
            <w:r>
              <w:rPr>
                <w:rFonts w:hint="default" w:ascii="Calibri" w:hAnsi="Calibri" w:eastAsia="宋体" w:cs="Calibri"/>
                <w:lang w:eastAsia="zh-CN"/>
              </w:rPr>
              <w:t>，</w:t>
            </w:r>
            <w:r>
              <w:rPr>
                <w:rFonts w:hint="default" w:ascii="Calibri" w:hAnsi="Calibri" w:eastAsia="宋体" w:cs="Calibri"/>
                <w:b/>
                <w:bCs/>
                <w:lang w:eastAsia="zh-CN"/>
              </w:rPr>
              <w:t>提供本地化交付方案</w:t>
            </w:r>
            <w:r>
              <w:rPr>
                <w:rFonts w:hint="default" w:ascii="Calibri" w:hAnsi="Calibri" w:eastAsia="宋体" w:cs="Calibri"/>
              </w:rPr>
              <w:t>；</w:t>
            </w:r>
          </w:p>
          <w:p w14:paraId="6CF89424">
            <w:pPr>
              <w:pStyle w:val="6"/>
              <w:rPr>
                <w:rFonts w:hint="eastAsia" w:ascii="Calibri" w:hAnsi="Calibri" w:eastAsia="宋体" w:cs="Calibri"/>
                <w:lang w:val="en-US" w:eastAsia="zh-CN"/>
              </w:rPr>
            </w:pPr>
            <w:r>
              <w:rPr>
                <w:rFonts w:hint="eastAsia" w:ascii="Calibri" w:hAnsi="Calibri" w:eastAsia="宋体" w:cs="Calibri"/>
                <w:lang w:val="en-US" w:eastAsia="zh-CN"/>
              </w:rPr>
              <w:t>(11)尿液有机酸：对于基因筛查阳性的可疑患儿，提供尿液有机酸免费检测服务，完善鉴别诊断；</w:t>
            </w:r>
          </w:p>
          <w:p w14:paraId="0A256A81">
            <w:pPr>
              <w:rPr>
                <w:rFonts w:ascii="Calibri" w:hAnsi="Calibri" w:eastAsia="宋体" w:cs="Calibri"/>
              </w:rPr>
            </w:pPr>
          </w:p>
          <w:p w14:paraId="5623B4A8">
            <w:pPr>
              <w:rPr>
                <w:rFonts w:ascii="Calibri" w:hAnsi="Calibri" w:eastAsia="宋体" w:cs="Calibri"/>
              </w:rPr>
            </w:pPr>
          </w:p>
          <w:p w14:paraId="5455C1F3">
            <w:pPr>
              <w:rPr>
                <w:rFonts w:ascii="Calibri" w:hAnsi="Calibri" w:eastAsia="宋体" w:cs="Calibri"/>
              </w:rPr>
            </w:pPr>
          </w:p>
          <w:p w14:paraId="0B7F2CE5">
            <w:pPr>
              <w:rPr>
                <w:rFonts w:ascii="Calibri" w:hAnsi="Calibri" w:eastAsia="宋体" w:cs="Calibri"/>
              </w:rPr>
            </w:pPr>
          </w:p>
          <w:p w14:paraId="0B85F6B7">
            <w:pPr>
              <w:rPr>
                <w:rFonts w:ascii="Calibri" w:hAnsi="Calibri" w:eastAsia="宋体" w:cs="Calibri"/>
              </w:rPr>
            </w:pPr>
          </w:p>
          <w:p w14:paraId="1DBB71DC">
            <w:pPr>
              <w:rPr>
                <w:rFonts w:ascii="Calibri" w:hAnsi="Calibri" w:eastAsia="宋体" w:cs="Calibri"/>
              </w:rPr>
            </w:pPr>
          </w:p>
          <w:p w14:paraId="5B1F3D43">
            <w:pPr>
              <w:rPr>
                <w:rFonts w:ascii="Calibri" w:hAnsi="Calibri" w:eastAsia="宋体" w:cs="Calibri"/>
              </w:rPr>
            </w:pPr>
          </w:p>
          <w:p w14:paraId="4D2EF2E6">
            <w:pPr>
              <w:rPr>
                <w:rFonts w:ascii="Calibri" w:hAnsi="Calibri" w:eastAsia="宋体" w:cs="Calibri"/>
              </w:rPr>
            </w:pPr>
          </w:p>
          <w:p w14:paraId="22D4CCEC">
            <w:pPr>
              <w:rPr>
                <w:rFonts w:ascii="Calibri" w:hAnsi="Calibri" w:eastAsia="宋体" w:cs="Calibri"/>
              </w:rPr>
            </w:pPr>
          </w:p>
          <w:p w14:paraId="6DA55D48">
            <w:pPr>
              <w:rPr>
                <w:rFonts w:ascii="Calibri" w:hAnsi="Calibri" w:eastAsia="宋体" w:cs="Calibri"/>
              </w:rPr>
            </w:pPr>
          </w:p>
          <w:p w14:paraId="3A6A81E7">
            <w:pPr>
              <w:rPr>
                <w:rFonts w:ascii="Calibri" w:hAnsi="Calibri" w:eastAsia="宋体" w:cs="Calibri"/>
              </w:rPr>
            </w:pPr>
          </w:p>
          <w:p w14:paraId="5E656B7A">
            <w:pPr>
              <w:rPr>
                <w:rFonts w:ascii="Calibri" w:hAnsi="Calibri" w:eastAsia="宋体" w:cs="Calibri"/>
              </w:rPr>
            </w:pPr>
          </w:p>
          <w:p w14:paraId="03C13671">
            <w:pPr>
              <w:pStyle w:val="6"/>
              <w:rPr>
                <w:rFonts w:hint="default" w:ascii="Calibri" w:hAnsi="Calibri" w:eastAsia="宋体" w:cs="Calibri"/>
              </w:rPr>
            </w:pPr>
          </w:p>
        </w:tc>
      </w:tr>
      <w:tr w14:paraId="0EF9E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68762BE">
            <w:pPr>
              <w:pStyle w:val="6"/>
              <w:rPr>
                <w:rFonts w:hint="default" w:ascii="Calibri" w:hAnsi="Calibri" w:eastAsia="宋体" w:cs="Calibri"/>
              </w:rPr>
            </w:pPr>
            <w:r>
              <w:rPr>
                <w:rFonts w:hint="default" w:ascii="Calibri" w:hAnsi="Calibri" w:eastAsia="宋体" w:cs="Calibri"/>
              </w:rPr>
              <w:t>说明</w:t>
            </w:r>
          </w:p>
        </w:tc>
        <w:tc>
          <w:tcPr>
            <w:tcW w:w="6229" w:type="dxa"/>
            <w:gridSpan w:val="2"/>
          </w:tcPr>
          <w:p w14:paraId="7EE53988">
            <w:pPr>
              <w:pStyle w:val="6"/>
              <w:rPr>
                <w:rFonts w:hint="default" w:ascii="Calibri" w:hAnsi="Calibri" w:eastAsia="宋体" w:cs="Calibri"/>
              </w:rPr>
            </w:pPr>
            <w:r>
              <w:rPr>
                <w:rFonts w:hint="default" w:ascii="Calibri" w:hAnsi="Calibri" w:eastAsia="宋体" w:cs="Calibri"/>
              </w:rPr>
              <w:t xml:space="preserve"> 打“★”号条款为实质性条款，若有任何一条负偏离或不满足则导致投标无效。 </w:t>
            </w:r>
            <w:r>
              <w:rPr>
                <w:rFonts w:hint="default" w:ascii="Calibri" w:hAnsi="Calibri" w:eastAsia="宋体" w:cs="Calibri"/>
              </w:rPr>
              <w:br w:type="textWrapping"/>
            </w:r>
            <w:r>
              <w:rPr>
                <w:rFonts w:hint="default" w:ascii="Calibri" w:hAnsi="Calibri" w:eastAsia="宋体" w:cs="Calibri"/>
              </w:rPr>
              <w:t>打“▲”号条款为重要技术参数，若有部分“▲”条款未响应或不满足，将导致其响应性评审加重扣分，但不作为无效投标条款。</w:t>
            </w:r>
          </w:p>
        </w:tc>
      </w:tr>
    </w:tbl>
    <w:p w14:paraId="2A610F62">
      <w:pPr>
        <w:rPr>
          <w:rFonts w:hint="eastAsia" w:asciiTheme="minorEastAsia" w:hAnsiTheme="minorEastAsia" w:eastAsiaTheme="minorEastAsia" w:cstheme="minorEastAsia"/>
          <w:b w:val="0"/>
          <w:bCs/>
        </w:rPr>
      </w:pPr>
    </w:p>
    <w:p w14:paraId="77584D0E">
      <w:pPr>
        <w:rPr>
          <w:rFonts w:hint="eastAsia" w:asciiTheme="minorEastAsia" w:hAnsiTheme="minorEastAsia" w:eastAsiaTheme="minorEastAsia" w:cstheme="minorEastAsia"/>
          <w:b w:val="0"/>
          <w:bC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DBF4"/>
    <w:multiLevelType w:val="singleLevel"/>
    <w:tmpl w:val="017CDBF4"/>
    <w:lvl w:ilvl="0" w:tentative="0">
      <w:start w:val="5"/>
      <w:numFmt w:val="decimal"/>
      <w:suff w:val="nothing"/>
      <w:lvlText w:val="（%1）"/>
      <w:lvlJc w:val="left"/>
    </w:lvl>
  </w:abstractNum>
  <w:abstractNum w:abstractNumId="1">
    <w:nsid w:val="2A69973B"/>
    <w:multiLevelType w:val="multilevel"/>
    <w:tmpl w:val="2A69973B"/>
    <w:lvl w:ilvl="0" w:tentative="0">
      <w:start w:val="1"/>
      <w:numFmt w:val="decimal"/>
      <w:suff w:val="space"/>
      <w:lvlText w:val="%1."/>
      <w:lvlJc w:val="left"/>
      <w:pPr>
        <w:ind w:left="1272"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7A5FE"/>
    <w:multiLevelType w:val="multilevel"/>
    <w:tmpl w:val="74A7A5FE"/>
    <w:lvl w:ilvl="0" w:tentative="0">
      <w:start w:val="1"/>
      <w:numFmt w:val="decimal"/>
      <w:suff w:val="space"/>
      <w:lvlText w:val="%1."/>
      <w:lvlJc w:val="left"/>
      <w:pPr>
        <w:ind w:left="1129"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CC163"/>
    <w:rsid w:val="2327283B"/>
    <w:rsid w:val="277F7A31"/>
    <w:rsid w:val="2DD980E0"/>
    <w:rsid w:val="2FEFAB87"/>
    <w:rsid w:val="3319387F"/>
    <w:rsid w:val="3CFFE31F"/>
    <w:rsid w:val="3DDCB76C"/>
    <w:rsid w:val="3F944C57"/>
    <w:rsid w:val="3FB7C51E"/>
    <w:rsid w:val="3FFD86F4"/>
    <w:rsid w:val="45D94E14"/>
    <w:rsid w:val="562B5FC6"/>
    <w:rsid w:val="57F35802"/>
    <w:rsid w:val="5B883E7F"/>
    <w:rsid w:val="5BADFCC6"/>
    <w:rsid w:val="62C8584A"/>
    <w:rsid w:val="641A33C9"/>
    <w:rsid w:val="65FF9A39"/>
    <w:rsid w:val="67FFEDD0"/>
    <w:rsid w:val="6CEBF377"/>
    <w:rsid w:val="71FA6AFD"/>
    <w:rsid w:val="72F58952"/>
    <w:rsid w:val="74FE5DD1"/>
    <w:rsid w:val="775C4DF0"/>
    <w:rsid w:val="77FFCC1E"/>
    <w:rsid w:val="78ECDB8E"/>
    <w:rsid w:val="79FCC163"/>
    <w:rsid w:val="7C760AB6"/>
    <w:rsid w:val="7F757154"/>
    <w:rsid w:val="7FAE6F6C"/>
    <w:rsid w:val="99FB9641"/>
    <w:rsid w:val="B77CAB7D"/>
    <w:rsid w:val="B9FA7197"/>
    <w:rsid w:val="BDBB7C32"/>
    <w:rsid w:val="D5FA3EC8"/>
    <w:rsid w:val="D76F9133"/>
    <w:rsid w:val="EEFF84D0"/>
    <w:rsid w:val="EFDD53D1"/>
    <w:rsid w:val="F7C6A517"/>
    <w:rsid w:val="FF8FB023"/>
    <w:rsid w:val="FFEF2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ind w:firstLine="0" w:firstLineChars="0"/>
      <w:jc w:val="left"/>
    </w:pPr>
    <w:rPr>
      <w:rFonts w:ascii="宋体" w:hAnsi="宋体" w:eastAsia="宋体" w:cs="宋体"/>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customStyle="1" w:styleId="3">
    <w:name w:val="Default"/>
    <w:next w:val="1"/>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6">
    <w:name w:val="null3"/>
    <w:hidden/>
    <w:qFormat/>
    <w:uiPriority w:val="0"/>
    <w:rPr>
      <w:rFonts w:hint="eastAsia" w:asciiTheme="minorHAnsi" w:hAnsiTheme="minorHAnsi" w:eastAsiaTheme="minorEastAsia" w:cstheme="minorBidi"/>
      <w:sz w:val="21"/>
      <w:szCs w:val="22"/>
      <w:lang w:val="en-US" w:eastAsia="zh-Hans"/>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2431</Words>
  <Characters>2621</Characters>
  <Lines>0</Lines>
  <Paragraphs>0</Paragraphs>
  <TotalTime>19</TotalTime>
  <ScaleCrop>false</ScaleCrop>
  <LinksUpToDate>false</LinksUpToDate>
  <CharactersWithSpaces>2630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2026-02-25T22:07:00Z</dcterms:created>
  <dc:creator>gjk</dc:creator>
  <cp:lastModifiedBy>伍阿坚</cp:lastModifiedBy>
  <dcterms:modified xsi:type="dcterms:W3CDTF">2026-04-15T07:39:02Z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921A7E09BCA649CB9554C31BB33A16B4_13</vt:lpwstr>
  </property>
</Properties>
</file>