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4D9E">
      <w:pPr>
        <w:pStyle w:val="5"/>
        <w:ind w:firstLine="480"/>
        <w:jc w:val="center"/>
        <w:rPr>
          <w:rFonts w:hint="default"/>
          <w:sz w:val="28"/>
          <w:szCs w:val="28"/>
          <w:lang w:eastAsia="zh-CN"/>
        </w:rPr>
      </w:pPr>
      <w:r>
        <w:rPr>
          <w:b/>
          <w:sz w:val="28"/>
          <w:szCs w:val="28"/>
        </w:rPr>
        <w:t>病原</w:t>
      </w:r>
      <w:r>
        <w:rPr>
          <w:rFonts w:hint="eastAsia"/>
          <w:b/>
          <w:sz w:val="28"/>
          <w:szCs w:val="28"/>
          <w:lang w:eastAsia="zh-CN"/>
        </w:rPr>
        <w:t>高通量测序</w:t>
      </w:r>
      <w:r>
        <w:rPr>
          <w:b/>
          <w:sz w:val="28"/>
          <w:szCs w:val="28"/>
        </w:rPr>
        <w:t>检测服务</w:t>
      </w:r>
      <w:r>
        <w:rPr>
          <w:b/>
          <w:sz w:val="28"/>
          <w:szCs w:val="28"/>
          <w:lang w:eastAsia="zh-CN"/>
        </w:rPr>
        <w:t>需求</w:t>
      </w:r>
    </w:p>
    <w:p w14:paraId="34DCE813">
      <w:pPr>
        <w:pStyle w:val="5"/>
        <w:ind w:firstLine="480"/>
        <w:jc w:val="both"/>
        <w:rPr>
          <w:rFonts w:hint="default"/>
        </w:rPr>
      </w:pPr>
      <w:r>
        <w:rPr>
          <w:sz w:val="21"/>
        </w:rPr>
        <w:t>1、基本要求</w:t>
      </w:r>
    </w:p>
    <w:p w14:paraId="0202775D">
      <w:pPr>
        <w:pStyle w:val="5"/>
        <w:ind w:firstLine="480"/>
        <w:jc w:val="both"/>
        <w:rPr>
          <w:rFonts w:hint="default"/>
        </w:rPr>
      </w:pPr>
      <w:r>
        <w:rPr>
          <w:sz w:val="21"/>
        </w:rPr>
        <w:t>1.1 检测服务目的</w:t>
      </w:r>
    </w:p>
    <w:p w14:paraId="304A372A">
      <w:pPr>
        <w:pStyle w:val="5"/>
        <w:ind w:firstLine="480"/>
        <w:jc w:val="both"/>
        <w:rPr>
          <w:rFonts w:hint="default"/>
          <w:sz w:val="21"/>
        </w:rPr>
      </w:pPr>
      <w:r>
        <w:rPr>
          <w:sz w:val="21"/>
        </w:rPr>
        <w:t>对送检样本中的微生物基因序列进行宏基因组测序或靶向高通量测序，通过专用微生物数据库进行比对和算法分析，获得疑似DNA和RNA致病微生物的种属信息。具体项目应包括：</w:t>
      </w:r>
    </w:p>
    <w:tbl>
      <w:tblPr>
        <w:tblStyle w:val="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90"/>
        <w:gridCol w:w="4096"/>
        <w:gridCol w:w="1984"/>
      </w:tblGrid>
      <w:tr w14:paraId="4E0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09EB23F">
            <w:pPr>
              <w:pStyle w:val="5"/>
              <w:widowControl w:val="0"/>
              <w:jc w:val="left"/>
              <w:rPr>
                <w:rFonts w:hint="default"/>
                <w:sz w:val="21"/>
              </w:rPr>
            </w:pPr>
            <w:r>
              <w:rPr>
                <w:sz w:val="21"/>
              </w:rPr>
              <w:t>序号</w:t>
            </w:r>
          </w:p>
        </w:tc>
        <w:tc>
          <w:tcPr>
            <w:tcW w:w="2590" w:type="dxa"/>
            <w:vAlign w:val="center"/>
          </w:tcPr>
          <w:p w14:paraId="2D9E37E4">
            <w:pPr>
              <w:pStyle w:val="5"/>
              <w:widowControl w:val="0"/>
              <w:ind w:firstLine="840" w:firstLineChars="400"/>
              <w:jc w:val="left"/>
              <w:rPr>
                <w:rFonts w:hint="default"/>
                <w:sz w:val="21"/>
              </w:rPr>
            </w:pPr>
            <w:r>
              <w:rPr>
                <w:sz w:val="21"/>
              </w:rPr>
              <w:t>技术服务项目</w:t>
            </w:r>
          </w:p>
        </w:tc>
        <w:tc>
          <w:tcPr>
            <w:tcW w:w="4096" w:type="dxa"/>
            <w:vAlign w:val="center"/>
          </w:tcPr>
          <w:p w14:paraId="50FC8B37">
            <w:pPr>
              <w:pStyle w:val="5"/>
              <w:widowControl w:val="0"/>
              <w:ind w:firstLine="1260" w:firstLineChars="600"/>
              <w:jc w:val="left"/>
              <w:rPr>
                <w:rFonts w:hint="default"/>
                <w:sz w:val="21"/>
              </w:rPr>
            </w:pPr>
            <w:r>
              <w:rPr>
                <w:sz w:val="21"/>
              </w:rPr>
              <w:t>项目内容</w:t>
            </w:r>
          </w:p>
        </w:tc>
        <w:tc>
          <w:tcPr>
            <w:tcW w:w="1984" w:type="dxa"/>
            <w:vAlign w:val="center"/>
          </w:tcPr>
          <w:p w14:paraId="3541454D">
            <w:pPr>
              <w:pStyle w:val="5"/>
              <w:widowControl w:val="0"/>
              <w:jc w:val="left"/>
              <w:rPr>
                <w:rFonts w:hint="default"/>
                <w:sz w:val="21"/>
              </w:rPr>
            </w:pPr>
            <w:r>
              <w:rPr>
                <w:rFonts w:hint="default"/>
                <w:sz w:val="21"/>
              </w:rPr>
              <w:t>招标基准价（人民币：元</w:t>
            </w:r>
            <w:r>
              <w:rPr>
                <w:rFonts w:hint="eastAsia" w:ascii="宋体" w:hAnsi="宋体" w:eastAsia="宋体" w:cs="宋体"/>
                <w:sz w:val="21"/>
                <w:lang w:val="en-US" w:eastAsia="zh-CN"/>
              </w:rPr>
              <w:t>/</w:t>
            </w:r>
            <w:r>
              <w:rPr>
                <w:rFonts w:hint="default"/>
                <w:sz w:val="21"/>
              </w:rPr>
              <w:t>例）</w:t>
            </w:r>
          </w:p>
        </w:tc>
      </w:tr>
      <w:tr w14:paraId="69C9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14:paraId="2273D703">
            <w:pPr>
              <w:pStyle w:val="5"/>
              <w:widowControl w:val="0"/>
              <w:ind w:firstLine="210" w:firstLineChars="100"/>
              <w:jc w:val="left"/>
              <w:rPr>
                <w:rFonts w:hint="default"/>
                <w:sz w:val="21"/>
              </w:rPr>
            </w:pPr>
            <w:r>
              <w:rPr>
                <w:sz w:val="21"/>
              </w:rPr>
              <w:t>1</w:t>
            </w:r>
          </w:p>
        </w:tc>
        <w:tc>
          <w:tcPr>
            <w:tcW w:w="2590" w:type="dxa"/>
            <w:vAlign w:val="center"/>
          </w:tcPr>
          <w:p w14:paraId="137A8FBF">
            <w:pPr>
              <w:pStyle w:val="5"/>
              <w:widowControl w:val="0"/>
              <w:jc w:val="left"/>
              <w:rPr>
                <w:rFonts w:hint="default"/>
                <w:sz w:val="21"/>
              </w:rPr>
            </w:pPr>
            <w:r>
              <w:rPr>
                <w:sz w:val="21"/>
              </w:rPr>
              <w:t>病原宏基因组高通量测序（DNA+RNA）</w:t>
            </w:r>
          </w:p>
        </w:tc>
        <w:tc>
          <w:tcPr>
            <w:tcW w:w="4096" w:type="dxa"/>
            <w:vAlign w:val="center"/>
          </w:tcPr>
          <w:p w14:paraId="43722727">
            <w:pPr>
              <w:pStyle w:val="5"/>
              <w:widowControl w:val="0"/>
              <w:ind w:firstLine="480"/>
              <w:jc w:val="both"/>
              <w:rPr>
                <w:rFonts w:hint="default"/>
                <w:sz w:val="21"/>
              </w:rPr>
            </w:pPr>
            <w:r>
              <w:rPr>
                <w:sz w:val="21"/>
              </w:rPr>
              <w:t>病原宏基因组分析范围包含不少于</w:t>
            </w:r>
            <w:r>
              <w:rPr>
                <w:rFonts w:hint="eastAsia"/>
                <w:sz w:val="21"/>
                <w:lang w:val="en-US" w:eastAsia="zh-CN"/>
              </w:rPr>
              <w:t>17000</w:t>
            </w:r>
            <w:r>
              <w:rPr>
                <w:sz w:val="21"/>
              </w:rPr>
              <w:t>种病原微生物，包括病毒、细菌、真菌、寄生虫、分枝杆菌、支原体/衣原体等；检测的耐药基因≥30种，能够检测毒力基因。</w:t>
            </w:r>
          </w:p>
        </w:tc>
        <w:tc>
          <w:tcPr>
            <w:tcW w:w="1984" w:type="dxa"/>
            <w:vAlign w:val="center"/>
          </w:tcPr>
          <w:p w14:paraId="60F2AD27">
            <w:pPr>
              <w:pStyle w:val="5"/>
              <w:widowControl w:val="0"/>
              <w:ind w:firstLine="480"/>
              <w:jc w:val="left"/>
              <w:rPr>
                <w:rFonts w:hint="default"/>
                <w:sz w:val="21"/>
                <w:lang w:val="en-US" w:eastAsia="zh-CN"/>
              </w:rPr>
            </w:pPr>
            <w:r>
              <w:rPr>
                <w:rFonts w:hint="eastAsia"/>
                <w:sz w:val="21"/>
                <w:lang w:val="en-US" w:eastAsia="zh-CN"/>
              </w:rPr>
              <w:t>3680</w:t>
            </w:r>
          </w:p>
        </w:tc>
      </w:tr>
      <w:tr w14:paraId="39B7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5262614">
            <w:pPr>
              <w:pStyle w:val="5"/>
              <w:widowControl w:val="0"/>
              <w:ind w:firstLine="210" w:firstLineChars="100"/>
              <w:jc w:val="left"/>
              <w:rPr>
                <w:rFonts w:hint="default"/>
                <w:sz w:val="21"/>
              </w:rPr>
            </w:pPr>
            <w:r>
              <w:rPr>
                <w:sz w:val="21"/>
              </w:rPr>
              <w:t>2</w:t>
            </w:r>
          </w:p>
        </w:tc>
        <w:tc>
          <w:tcPr>
            <w:tcW w:w="2590" w:type="dxa"/>
            <w:vAlign w:val="center"/>
          </w:tcPr>
          <w:p w14:paraId="63083CAE">
            <w:pPr>
              <w:pStyle w:val="5"/>
              <w:widowControl w:val="0"/>
              <w:jc w:val="left"/>
              <w:rPr>
                <w:rFonts w:hint="default"/>
                <w:sz w:val="21"/>
              </w:rPr>
            </w:pPr>
            <w:r>
              <w:rPr>
                <w:rFonts w:hint="eastAsia"/>
                <w:sz w:val="21"/>
                <w:lang w:eastAsia="zh-CN"/>
              </w:rPr>
              <w:t>探针捕获</w:t>
            </w:r>
            <w:r>
              <w:rPr>
                <w:sz w:val="21"/>
              </w:rPr>
              <w:t>病原高通量测序</w:t>
            </w:r>
          </w:p>
        </w:tc>
        <w:tc>
          <w:tcPr>
            <w:tcW w:w="4096" w:type="dxa"/>
            <w:vAlign w:val="center"/>
          </w:tcPr>
          <w:p w14:paraId="1A7B4AF2">
            <w:pPr>
              <w:pStyle w:val="5"/>
              <w:widowControl w:val="0"/>
              <w:ind w:firstLine="480"/>
              <w:jc w:val="both"/>
              <w:rPr>
                <w:rFonts w:hint="default" w:eastAsiaTheme="minorEastAsia"/>
                <w:sz w:val="21"/>
                <w:lang w:val="en-US" w:eastAsia="zh-CN"/>
              </w:rPr>
            </w:pPr>
            <w:r>
              <w:rPr>
                <w:rFonts w:hint="eastAsia" w:eastAsia="宋体"/>
                <w:sz w:val="21"/>
                <w:lang w:eastAsia="zh-CN"/>
              </w:rPr>
              <w:t>探针捕获</w:t>
            </w:r>
            <w:r>
              <w:rPr>
                <w:sz w:val="21"/>
              </w:rPr>
              <w:t>病原高通量测序分析范围包含不少于</w:t>
            </w:r>
            <w:r>
              <w:rPr>
                <w:rFonts w:hint="eastAsia"/>
                <w:sz w:val="21"/>
                <w:lang w:val="en-US" w:eastAsia="zh-CN"/>
              </w:rPr>
              <w:t>800</w:t>
            </w:r>
            <w:r>
              <w:rPr>
                <w:sz w:val="21"/>
              </w:rPr>
              <w:t>种病原微生物，包括病毒、细菌、真菌、寄生虫、分枝杆菌、支原体/衣原体等；检测的耐药基因≥30种，能够检测毒力基因</w:t>
            </w:r>
            <w:r>
              <w:rPr>
                <w:rFonts w:hint="eastAsia"/>
                <w:sz w:val="21"/>
                <w:lang w:eastAsia="zh-CN"/>
              </w:rPr>
              <w:t>；湿实验须包含病原核酸富集流程，核酸富集方法应为探针捕获法</w:t>
            </w:r>
            <w:r>
              <w:rPr>
                <w:rFonts w:hint="eastAsia"/>
                <w:sz w:val="21"/>
                <w:lang w:val="en-US" w:eastAsia="zh-CN"/>
              </w:rPr>
              <w:t>。</w:t>
            </w:r>
          </w:p>
        </w:tc>
        <w:tc>
          <w:tcPr>
            <w:tcW w:w="1984" w:type="dxa"/>
            <w:vAlign w:val="center"/>
          </w:tcPr>
          <w:p w14:paraId="507FA77D">
            <w:pPr>
              <w:pStyle w:val="5"/>
              <w:widowControl w:val="0"/>
              <w:ind w:firstLine="480"/>
              <w:jc w:val="left"/>
              <w:rPr>
                <w:rFonts w:hint="default" w:eastAsiaTheme="minorEastAsia"/>
                <w:sz w:val="21"/>
                <w:lang w:val="en-US" w:eastAsia="zh-CN"/>
              </w:rPr>
            </w:pPr>
            <w:r>
              <w:rPr>
                <w:rFonts w:hint="eastAsia"/>
                <w:sz w:val="21"/>
                <w:lang w:val="en-US" w:eastAsia="zh-CN"/>
              </w:rPr>
              <w:t>1920</w:t>
            </w:r>
          </w:p>
        </w:tc>
      </w:tr>
      <w:tr w14:paraId="0E5B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C871D99">
            <w:pPr>
              <w:pStyle w:val="5"/>
              <w:widowControl w:val="0"/>
              <w:ind w:firstLine="210" w:firstLineChars="100"/>
              <w:jc w:val="left"/>
              <w:rPr>
                <w:rFonts w:hint="eastAsia" w:eastAsiaTheme="minorEastAsia"/>
                <w:sz w:val="21"/>
                <w:lang w:val="en-US" w:eastAsia="zh-CN"/>
              </w:rPr>
            </w:pPr>
            <w:r>
              <w:rPr>
                <w:rFonts w:hint="eastAsia"/>
                <w:sz w:val="21"/>
                <w:lang w:val="en-US" w:eastAsia="zh-CN"/>
              </w:rPr>
              <w:t>3</w:t>
            </w:r>
          </w:p>
        </w:tc>
        <w:tc>
          <w:tcPr>
            <w:tcW w:w="2590" w:type="dxa"/>
            <w:vAlign w:val="center"/>
          </w:tcPr>
          <w:p w14:paraId="4D2662DC">
            <w:pPr>
              <w:pStyle w:val="5"/>
              <w:widowControl w:val="0"/>
              <w:jc w:val="left"/>
              <w:rPr>
                <w:rFonts w:hint="default"/>
                <w:sz w:val="21"/>
              </w:rPr>
            </w:pPr>
            <w:r>
              <w:rPr>
                <w:sz w:val="21"/>
              </w:rPr>
              <w:t>病原靶向高通量测序</w:t>
            </w:r>
          </w:p>
        </w:tc>
        <w:tc>
          <w:tcPr>
            <w:tcW w:w="4096" w:type="dxa"/>
            <w:vAlign w:val="center"/>
          </w:tcPr>
          <w:p w14:paraId="7202309D">
            <w:pPr>
              <w:pStyle w:val="5"/>
              <w:widowControl w:val="0"/>
              <w:ind w:firstLine="480"/>
              <w:jc w:val="both"/>
              <w:rPr>
                <w:rFonts w:hint="default"/>
                <w:sz w:val="21"/>
              </w:rPr>
            </w:pPr>
            <w:r>
              <w:rPr>
                <w:sz w:val="21"/>
              </w:rPr>
              <w:t>病原靶向检测范围包含不少于200种病原微生物，包括细菌、真菌、DNA和RNA病毒、寄生虫、分枝杆菌、支原体/衣原体等，可进行点突变分析，检测的耐药基因≥15种，能够检测毒力基因。</w:t>
            </w:r>
          </w:p>
        </w:tc>
        <w:tc>
          <w:tcPr>
            <w:tcW w:w="1984" w:type="dxa"/>
            <w:vAlign w:val="center"/>
          </w:tcPr>
          <w:p w14:paraId="264AD000">
            <w:pPr>
              <w:pStyle w:val="5"/>
              <w:widowControl w:val="0"/>
              <w:ind w:firstLine="480"/>
              <w:jc w:val="left"/>
              <w:rPr>
                <w:rFonts w:hint="default"/>
                <w:sz w:val="21"/>
                <w:lang w:val="en-US" w:eastAsia="zh-CN"/>
              </w:rPr>
            </w:pPr>
            <w:r>
              <w:rPr>
                <w:rFonts w:hint="eastAsia"/>
                <w:sz w:val="21"/>
                <w:lang w:val="en-US" w:eastAsia="zh-CN"/>
              </w:rPr>
              <w:t>800</w:t>
            </w:r>
          </w:p>
        </w:tc>
      </w:tr>
    </w:tbl>
    <w:p w14:paraId="1F4DF9AA">
      <w:pPr>
        <w:pStyle w:val="5"/>
        <w:ind w:firstLine="480"/>
        <w:jc w:val="both"/>
        <w:rPr>
          <w:rFonts w:hint="default"/>
          <w:sz w:val="21"/>
          <w:lang w:eastAsia="zh-CN"/>
        </w:rPr>
      </w:pPr>
      <w:r>
        <w:rPr>
          <w:sz w:val="21"/>
        </w:rPr>
        <w:t>注：采购人是按需采购，本采购包不保证中标人必然获得采购需求中所列内容，以合同期内实际检测量为准，采购人不保证各项检测项目的最低检测数量，若采购人没有对某项检测项目发起需要检测的要求，不视为采购人违约，投标人应自行综合考虑潜在风险且若中标须自行承担。</w:t>
      </w:r>
      <w:r>
        <w:rPr>
          <w:rFonts w:hint="eastAsia"/>
          <w:sz w:val="21"/>
          <w:lang w:eastAsia="zh-CN"/>
        </w:rPr>
        <w:t>项目服务期限为</w:t>
      </w:r>
      <w:r>
        <w:rPr>
          <w:rFonts w:hint="eastAsia"/>
          <w:sz w:val="21"/>
          <w:lang w:val="en-US" w:eastAsia="zh-CN"/>
        </w:rPr>
        <w:t>2年。</w:t>
      </w:r>
      <w:r>
        <w:rPr>
          <w:sz w:val="21"/>
        </w:rPr>
        <w:t>本项目按实结算，累计结算总金额不超过本</w:t>
      </w:r>
      <w:r>
        <w:rPr>
          <w:rFonts w:hint="eastAsia"/>
          <w:sz w:val="21"/>
          <w:lang w:eastAsia="zh-CN"/>
        </w:rPr>
        <w:t>项目</w:t>
      </w:r>
      <w:r>
        <w:rPr>
          <w:sz w:val="21"/>
        </w:rPr>
        <w:t>采购预算人民币</w:t>
      </w:r>
      <w:r>
        <w:rPr>
          <w:rFonts w:hint="eastAsia"/>
          <w:sz w:val="21"/>
          <w:lang w:val="en-US" w:eastAsia="zh-CN"/>
        </w:rPr>
        <w:t>60</w:t>
      </w:r>
      <w:r>
        <w:rPr>
          <w:sz w:val="21"/>
        </w:rPr>
        <w:t>万元。</w:t>
      </w:r>
    </w:p>
    <w:p w14:paraId="327BDB08">
      <w:pPr>
        <w:pStyle w:val="5"/>
        <w:ind w:firstLine="480"/>
        <w:jc w:val="both"/>
        <w:rPr>
          <w:rFonts w:hint="default"/>
        </w:rPr>
      </w:pPr>
      <w:r>
        <w:rPr>
          <w:sz w:val="21"/>
        </w:rPr>
        <w:t>2、样本要求</w:t>
      </w:r>
    </w:p>
    <w:p w14:paraId="7793BEE7">
      <w:pPr>
        <w:pStyle w:val="5"/>
        <w:ind w:firstLine="480"/>
        <w:jc w:val="both"/>
        <w:rPr>
          <w:rFonts w:hint="default"/>
        </w:rPr>
      </w:pPr>
      <w:r>
        <w:rPr>
          <w:sz w:val="21"/>
        </w:rPr>
        <w:t>▲2.1 可接收样本类型要求</w:t>
      </w:r>
    </w:p>
    <w:p w14:paraId="0DF9C111">
      <w:pPr>
        <w:pStyle w:val="5"/>
        <w:ind w:firstLine="480"/>
        <w:jc w:val="both"/>
        <w:rPr>
          <w:rFonts w:hint="default"/>
        </w:rPr>
      </w:pPr>
      <w:r>
        <w:rPr>
          <w:sz w:val="21"/>
        </w:rPr>
        <w:t>样本类型包括但不限于以下种类：全血标本、血浆标本、肺泡灌洗液</w:t>
      </w:r>
      <w:r>
        <w:rPr>
          <w:sz w:val="21"/>
          <w:lang w:eastAsia="zh-CN"/>
        </w:rPr>
        <w:t>标本</w:t>
      </w:r>
      <w:r>
        <w:rPr>
          <w:sz w:val="21"/>
        </w:rPr>
        <w:t>、鼻咽拭子</w:t>
      </w:r>
      <w:r>
        <w:rPr>
          <w:sz w:val="21"/>
          <w:lang w:eastAsia="zh-CN"/>
        </w:rPr>
        <w:t>标本、</w:t>
      </w:r>
      <w:r>
        <w:rPr>
          <w:rFonts w:hint="eastAsia"/>
          <w:sz w:val="21"/>
          <w:lang w:eastAsia="zh-CN"/>
        </w:rPr>
        <w:t>肛拭子标本、</w:t>
      </w:r>
      <w:r>
        <w:rPr>
          <w:sz w:val="21"/>
          <w:lang w:eastAsia="zh-CN"/>
        </w:rPr>
        <w:t>深部痰标本、</w:t>
      </w:r>
      <w:r>
        <w:rPr>
          <w:sz w:val="21"/>
        </w:rPr>
        <w:t>脑脊液标本、胸水标本、腹水标本、组织标本、</w:t>
      </w:r>
      <w:r>
        <w:rPr>
          <w:sz w:val="21"/>
          <w:lang w:eastAsia="zh-CN"/>
        </w:rPr>
        <w:t>关节液、脓液、</w:t>
      </w:r>
      <w:r>
        <w:rPr>
          <w:rFonts w:hint="eastAsia"/>
          <w:sz w:val="21"/>
          <w:lang w:eastAsia="zh-CN"/>
        </w:rPr>
        <w:t>囊肿标本、</w:t>
      </w:r>
      <w:r>
        <w:rPr>
          <w:sz w:val="21"/>
        </w:rPr>
        <w:t>尿液标本</w:t>
      </w:r>
      <w:r>
        <w:rPr>
          <w:rFonts w:hint="eastAsia"/>
          <w:sz w:val="21"/>
          <w:lang w:eastAsia="zh-CN"/>
        </w:rPr>
        <w:t>和</w:t>
      </w:r>
      <w:r>
        <w:rPr>
          <w:sz w:val="21"/>
        </w:rPr>
        <w:t>生殖道样本</w:t>
      </w:r>
      <w:r>
        <w:rPr>
          <w:rFonts w:hint="eastAsia"/>
          <w:sz w:val="21"/>
          <w:lang w:eastAsia="zh-CN"/>
        </w:rPr>
        <w:t>；</w:t>
      </w:r>
      <w:r>
        <w:rPr>
          <w:sz w:val="21"/>
        </w:rPr>
        <w:t>生殖道样本类型</w:t>
      </w:r>
      <w:r>
        <w:rPr>
          <w:rFonts w:hint="eastAsia"/>
          <w:sz w:val="21"/>
          <w:lang w:eastAsia="zh-CN"/>
        </w:rPr>
        <w:t>需</w:t>
      </w:r>
      <w:r>
        <w:rPr>
          <w:sz w:val="21"/>
        </w:rPr>
        <w:t>支持女性阴道拭子，宫颈脱落细胞，尿道分泌物、生殖道分泌物等。</w:t>
      </w:r>
      <w:r>
        <w:rPr>
          <w:rFonts w:hint="eastAsia"/>
          <w:sz w:val="21"/>
        </w:rPr>
        <w:t>投标人</w:t>
      </w:r>
      <w:r>
        <w:rPr>
          <w:rFonts w:hint="eastAsia"/>
          <w:sz w:val="21"/>
          <w:lang w:eastAsia="zh-CN"/>
        </w:rPr>
        <w:t>须</w:t>
      </w:r>
      <w:r>
        <w:rPr>
          <w:rFonts w:hint="eastAsia"/>
          <w:sz w:val="21"/>
        </w:rPr>
        <w:t>具备处理上述类型样本的能力，投标时提供相应的样本接收手册等技术指导文件。</w:t>
      </w:r>
      <w:r>
        <w:rPr>
          <w:sz w:val="21"/>
        </w:rPr>
        <w:t>中标后，对采购人样本采集和样本质量提供技术指导，委派专业人员对采购人临床科室人员进行相关业务培训。</w:t>
      </w:r>
    </w:p>
    <w:p w14:paraId="3408E558">
      <w:pPr>
        <w:pStyle w:val="5"/>
        <w:ind w:firstLine="480"/>
        <w:jc w:val="both"/>
        <w:rPr>
          <w:rFonts w:hint="default"/>
        </w:rPr>
      </w:pPr>
      <w:r>
        <w:rPr>
          <w:sz w:val="21"/>
        </w:rPr>
        <w:t>2.2 样本收样阶段和转运阶段要求</w:t>
      </w:r>
    </w:p>
    <w:p w14:paraId="7765897C">
      <w:pPr>
        <w:pStyle w:val="5"/>
        <w:ind w:firstLine="480"/>
        <w:jc w:val="both"/>
        <w:rPr>
          <w:rFonts w:hint="default"/>
        </w:rPr>
      </w:pPr>
      <w:r>
        <w:rPr>
          <w:sz w:val="21"/>
        </w:rPr>
        <w:t>2.2.1 收样阶段</w:t>
      </w:r>
    </w:p>
    <w:p w14:paraId="668A48DF">
      <w:pPr>
        <w:pStyle w:val="5"/>
        <w:ind w:firstLine="480"/>
        <w:jc w:val="both"/>
        <w:rPr>
          <w:rFonts w:hint="default"/>
          <w:sz w:val="21"/>
        </w:rPr>
      </w:pPr>
      <w:r>
        <w:rPr>
          <w:sz w:val="21"/>
        </w:rPr>
        <w:t>（1）投标人必须配备符合《医学检验生物样本冷链物流运作规范》（GB/T 42186-2022）的物流标本箱，具备温度监控功能，可实现全程实时监测。</w:t>
      </w:r>
      <w:r>
        <w:rPr>
          <w:sz w:val="21"/>
          <w:lang w:eastAsia="zh-CN"/>
        </w:rPr>
        <w:t>每日</w:t>
      </w:r>
      <w:r>
        <w:rPr>
          <w:sz w:val="21"/>
        </w:rPr>
        <w:t>由专职物流人员至</w:t>
      </w:r>
      <w:r>
        <w:rPr>
          <w:sz w:val="21"/>
          <w:lang w:eastAsia="zh-CN"/>
        </w:rPr>
        <w:t>采购人处</w:t>
      </w:r>
      <w:r>
        <w:rPr>
          <w:sz w:val="21"/>
        </w:rPr>
        <w:t>接收标</w:t>
      </w:r>
      <w:r>
        <w:rPr>
          <w:sz w:val="21"/>
          <w:lang w:eastAsia="zh-CN"/>
        </w:rPr>
        <w:t>本</w:t>
      </w:r>
      <w:r>
        <w:rPr>
          <w:sz w:val="21"/>
        </w:rPr>
        <w:t>（遇特殊标本</w:t>
      </w:r>
      <w:r>
        <w:rPr>
          <w:rFonts w:hint="eastAsia"/>
          <w:sz w:val="21"/>
          <w:lang w:eastAsia="zh-CN"/>
        </w:rPr>
        <w:t>时，</w:t>
      </w:r>
      <w:r>
        <w:rPr>
          <w:sz w:val="21"/>
        </w:rPr>
        <w:t>投标人应在采购人通知后4小时内上门收取标本）</w:t>
      </w:r>
      <w:r>
        <w:rPr>
          <w:sz w:val="21"/>
          <w:lang w:eastAsia="zh-CN"/>
        </w:rPr>
        <w:t>，</w:t>
      </w:r>
      <w:r>
        <w:rPr>
          <w:sz w:val="21"/>
        </w:rPr>
        <w:t>按照样本类型分别对常温样本及冷藏样本进行分类，检查样本状态是否存在漏液、污染等情况，检查无问题后装入样本运转箱。</w:t>
      </w:r>
      <w:r>
        <w:rPr>
          <w:rFonts w:hint="eastAsia"/>
          <w:sz w:val="21"/>
          <w:lang w:val="en-US" w:eastAsia="zh-CN"/>
        </w:rPr>
        <w:t>3</w:t>
      </w:r>
      <w:r>
        <w:rPr>
          <w:sz w:val="21"/>
          <w:lang w:eastAsia="zh-CN"/>
        </w:rPr>
        <w:t>小时内送至检测实验室。</w:t>
      </w:r>
      <w:r>
        <w:rPr>
          <w:sz w:val="21"/>
        </w:rPr>
        <w:t>若发现问题需及时与</w:t>
      </w:r>
      <w:r>
        <w:rPr>
          <w:sz w:val="21"/>
          <w:lang w:eastAsia="zh-CN"/>
        </w:rPr>
        <w:t>采购</w:t>
      </w:r>
      <w:r>
        <w:rPr>
          <w:sz w:val="21"/>
        </w:rPr>
        <w:t>人沟通解决。</w:t>
      </w:r>
    </w:p>
    <w:p w14:paraId="68BD1C60">
      <w:pPr>
        <w:pStyle w:val="5"/>
        <w:ind w:firstLine="480"/>
        <w:jc w:val="both"/>
        <w:rPr>
          <w:rFonts w:hint="default"/>
        </w:rPr>
      </w:pPr>
      <w:r>
        <w:rPr>
          <w:sz w:val="21"/>
        </w:rPr>
        <w:t>（</w:t>
      </w:r>
      <w:r>
        <w:rPr>
          <w:sz w:val="21"/>
          <w:lang w:eastAsia="zh-CN"/>
        </w:rPr>
        <w:t>2</w:t>
      </w:r>
      <w:r>
        <w:rPr>
          <w:sz w:val="21"/>
        </w:rPr>
        <w:t>）投标人应有完善的应急预案予以妥善解决标本在送检过程中出现延迟、遗漏、丢失等情况。若出现样本丢失或延误、错误情况，需要中标人根据应急预案，查找原因，及时找回样本，并将丢失原因及查找结果及时告知采购人，若出现标本延迟、遗漏、丢失等情况，重采样本的所有费用均由中标人承担，投标人应承担相应责任。</w:t>
      </w:r>
    </w:p>
    <w:p w14:paraId="6AA3F15C">
      <w:pPr>
        <w:pStyle w:val="5"/>
        <w:ind w:firstLine="480"/>
        <w:jc w:val="both"/>
        <w:rPr>
          <w:rFonts w:hint="default"/>
        </w:rPr>
      </w:pPr>
      <w:r>
        <w:rPr>
          <w:sz w:val="21"/>
        </w:rPr>
        <w:t>（</w:t>
      </w:r>
      <w:r>
        <w:rPr>
          <w:sz w:val="21"/>
          <w:lang w:eastAsia="zh-CN"/>
        </w:rPr>
        <w:t>3</w:t>
      </w:r>
      <w:r>
        <w:rPr>
          <w:sz w:val="21"/>
        </w:rPr>
        <w:t>）投标人需提供或建立标本流转系统，样本流转系统中体现标本送出、运送人员及接收时间等信息，可实时追踪监测标本。投标人在接收检测样本时需做好相关记录、标记，并将名称录入公司样本系统，每个样本要生成唯一的样本条码，后续提取，检测需根据条码扫描核实，确保样本不会出错。</w:t>
      </w:r>
    </w:p>
    <w:p w14:paraId="3AB97DC6">
      <w:pPr>
        <w:pStyle w:val="5"/>
        <w:ind w:firstLine="480"/>
        <w:jc w:val="both"/>
        <w:rPr>
          <w:rFonts w:hint="default"/>
        </w:rPr>
      </w:pPr>
      <w:r>
        <w:rPr>
          <w:sz w:val="21"/>
        </w:rPr>
        <w:t>2.2.2 样本运输：</w:t>
      </w:r>
    </w:p>
    <w:p w14:paraId="3604F7BF">
      <w:pPr>
        <w:pStyle w:val="5"/>
        <w:ind w:firstLine="480"/>
        <w:jc w:val="both"/>
        <w:rPr>
          <w:rFonts w:hint="default"/>
        </w:rPr>
      </w:pPr>
      <w:r>
        <w:rPr>
          <w:sz w:val="21"/>
        </w:rPr>
        <w:t>（1）投标人标本接收人员须通过投标人的内部严格培训，具备生物防护能力及持有投标人的授权；负责标本质量的初检、标识的核对，标本的接收，标本的接收登记及包装储存。投标人指派的专职物流人员保证受委托检验标本根据标本转运要求，进行冷链和常温物流运输，且符合《冷链物流分类与基本要求》（GB/T 28577-2021）与生物安全要求，确保运输过程的样品质量和环境安全。若发现问题需及时与采购人沟通解决。</w:t>
      </w:r>
    </w:p>
    <w:p w14:paraId="0E4C3CF8">
      <w:pPr>
        <w:pStyle w:val="5"/>
        <w:ind w:firstLine="480"/>
        <w:jc w:val="both"/>
        <w:rPr>
          <w:rFonts w:hint="default"/>
        </w:rPr>
      </w:pPr>
      <w:r>
        <w:rPr>
          <w:sz w:val="21"/>
        </w:rPr>
        <w:t>（2）对于有特殊要求的样本视具体项目与招标人商定，特殊急查样本按招标人要求时间运输到投标人并进行检测，具体可视实际情况协商。</w:t>
      </w:r>
    </w:p>
    <w:p w14:paraId="09D4E0C7">
      <w:pPr>
        <w:pStyle w:val="5"/>
        <w:ind w:firstLine="420"/>
        <w:jc w:val="both"/>
        <w:rPr>
          <w:rFonts w:ascii="Calibri" w:hAnsi="Calibri" w:eastAsia="宋体" w:cs="Times New Roman"/>
        </w:rPr>
      </w:pPr>
      <w:r>
        <w:rPr>
          <w:sz w:val="21"/>
          <w:highlight w:val="none"/>
        </w:rPr>
        <w:t>（</w:t>
      </w:r>
      <w:r>
        <w:rPr>
          <w:sz w:val="21"/>
          <w:highlight w:val="none"/>
          <w:lang w:eastAsia="zh-CN"/>
        </w:rPr>
        <w:t>3</w:t>
      </w:r>
      <w:r>
        <w:rPr>
          <w:sz w:val="21"/>
          <w:highlight w:val="none"/>
        </w:rPr>
        <w:t>）</w:t>
      </w:r>
      <w:r>
        <w:rPr>
          <w:rFonts w:hint="eastAsia"/>
          <w:sz w:val="21"/>
          <w:highlight w:val="none"/>
        </w:rPr>
        <w:t>投标人需提供《诊断项目总汇》、《采样手册》（包括其修改版，作为附件并视为本项目采购合同不可分割的一个部分）</w:t>
      </w:r>
      <w:r>
        <w:rPr>
          <w:sz w:val="21"/>
          <w:highlight w:val="none"/>
        </w:rPr>
        <w:t>内容包括但不限于所述各项目的要求，</w:t>
      </w:r>
      <w:r>
        <w:rPr>
          <w:rFonts w:hint="eastAsia" w:ascii="Calibri" w:hAnsi="Calibri" w:eastAsia="宋体" w:cs="Times New Roman"/>
          <w:sz w:val="21"/>
          <w:lang w:eastAsia="zh-CN"/>
        </w:rPr>
        <w:t>包括</w:t>
      </w:r>
      <w:r>
        <w:rPr>
          <w:rFonts w:ascii="Calibri" w:hAnsi="Calibri" w:eastAsia="宋体" w:cs="Times New Roman"/>
          <w:sz w:val="21"/>
        </w:rPr>
        <w:t>样品的状态、数量及检验方法的说明、采集样本的要求等内容。</w:t>
      </w:r>
    </w:p>
    <w:p w14:paraId="080CC117">
      <w:pPr>
        <w:pStyle w:val="5"/>
        <w:ind w:firstLine="480"/>
        <w:jc w:val="both"/>
        <w:rPr>
          <w:rFonts w:hint="default"/>
          <w:highlight w:val="none"/>
        </w:rPr>
      </w:pPr>
      <w:r>
        <w:rPr>
          <w:sz w:val="21"/>
          <w:highlight w:val="none"/>
        </w:rPr>
        <w:t>3、检测平台</w:t>
      </w:r>
    </w:p>
    <w:p w14:paraId="64E08BC9">
      <w:pPr>
        <w:pStyle w:val="5"/>
        <w:ind w:firstLine="480"/>
        <w:jc w:val="both"/>
        <w:rPr>
          <w:rFonts w:hint="eastAsia" w:eastAsiaTheme="minorEastAsia"/>
          <w:lang w:eastAsia="zh-CN"/>
        </w:rPr>
      </w:pPr>
      <w:r>
        <w:rPr>
          <w:b/>
          <w:sz w:val="21"/>
        </w:rPr>
        <w:t>★</w:t>
      </w:r>
      <w:r>
        <w:rPr>
          <w:sz w:val="21"/>
        </w:rPr>
        <w:t>（1）</w:t>
      </w:r>
      <w:r>
        <w:rPr>
          <w:rFonts w:hint="eastAsia"/>
          <w:sz w:val="21"/>
        </w:rPr>
        <w:t>投标人需使用二代测序平台进行宏基因组检测，该平台需要具有中华人民共和国医疗器械注册证，对来源于人体样本的脱氧核糖核酸(DNA)和核糖核酸(RNA)进行测序，确保人类遗传信息安全性。投标人需具有高通量样本前处理类设备、离心机、破壁仪、核酸提取仪、Qubit、PCR仪等仪器设备。</w:t>
      </w:r>
      <w:r>
        <w:rPr>
          <w:rFonts w:hint="eastAsia"/>
          <w:sz w:val="21"/>
          <w:lang w:eastAsia="zh-CN"/>
        </w:rPr>
        <w:t>投标人</w:t>
      </w:r>
      <w:r>
        <w:rPr>
          <w:rFonts w:hint="eastAsia"/>
          <w:sz w:val="21"/>
        </w:rPr>
        <w:t>提供相关证明材料，如设备的采购合同发票或者租赁合同发票</w:t>
      </w:r>
      <w:r>
        <w:rPr>
          <w:rFonts w:hint="eastAsia"/>
          <w:sz w:val="21"/>
          <w:lang w:eastAsia="zh-CN"/>
        </w:rPr>
        <w:t>。</w:t>
      </w:r>
    </w:p>
    <w:p w14:paraId="1DB1D501">
      <w:pPr>
        <w:pStyle w:val="5"/>
        <w:ind w:firstLine="480"/>
        <w:jc w:val="both"/>
        <w:rPr>
          <w:sz w:val="21"/>
        </w:rPr>
      </w:pPr>
      <w:r>
        <w:rPr>
          <w:b/>
          <w:sz w:val="21"/>
        </w:rPr>
        <w:t>★</w:t>
      </w:r>
      <w:r>
        <w:rPr>
          <w:sz w:val="21"/>
        </w:rPr>
        <w:t>（</w:t>
      </w:r>
      <w:r>
        <w:rPr>
          <w:sz w:val="21"/>
          <w:lang w:eastAsia="zh-CN"/>
        </w:rPr>
        <w:t>2</w:t>
      </w:r>
      <w:r>
        <w:rPr>
          <w:sz w:val="21"/>
        </w:rPr>
        <w:t>）分析软件：分析软件获得NMPA批准的医疗器械注册证，可分析的病原体包括：细菌、支原体、衣原体、立克次氏体、螺旋体、寄生虫，真菌，病毒</w:t>
      </w:r>
      <w:r>
        <w:rPr>
          <w:rFonts w:hint="eastAsia"/>
          <w:sz w:val="21"/>
          <w:lang w:eastAsia="zh-CN"/>
        </w:rPr>
        <w:t>。</w:t>
      </w:r>
      <w:r>
        <w:rPr>
          <w:sz w:val="21"/>
        </w:rPr>
        <w:t>病原宏基因组数据库可供分析病原微生物种类≥</w:t>
      </w:r>
      <w:r>
        <w:rPr>
          <w:rFonts w:hint="eastAsia"/>
          <w:sz w:val="21"/>
          <w:lang w:val="en-US" w:eastAsia="zh-CN"/>
        </w:rPr>
        <w:t>17</w:t>
      </w:r>
      <w:r>
        <w:rPr>
          <w:sz w:val="21"/>
        </w:rPr>
        <w:t>000种</w:t>
      </w:r>
      <w:r>
        <w:rPr>
          <w:rFonts w:hint="eastAsia"/>
          <w:sz w:val="21"/>
          <w:lang w:eastAsia="zh-CN"/>
        </w:rPr>
        <w:t>，</w:t>
      </w:r>
      <w:r>
        <w:rPr>
          <w:rFonts w:hint="eastAsia" w:eastAsia="宋体"/>
          <w:sz w:val="21"/>
          <w:lang w:eastAsia="zh-CN"/>
        </w:rPr>
        <w:t>探针捕获</w:t>
      </w:r>
      <w:r>
        <w:rPr>
          <w:sz w:val="21"/>
        </w:rPr>
        <w:t>病原高通量测序</w:t>
      </w:r>
      <w:r>
        <w:rPr>
          <w:rFonts w:hint="eastAsia"/>
          <w:sz w:val="21"/>
        </w:rPr>
        <w:t>数据库可供分析病原微生物种类≥</w:t>
      </w:r>
      <w:r>
        <w:rPr>
          <w:rFonts w:hint="eastAsia" w:ascii="Times New Roman" w:eastAsia="宋体"/>
          <w:sz w:val="21"/>
          <w:lang w:val="en-US" w:eastAsia="zh-CN"/>
        </w:rPr>
        <w:t>800</w:t>
      </w:r>
      <w:r>
        <w:rPr>
          <w:rFonts w:hint="eastAsia"/>
          <w:sz w:val="21"/>
        </w:rPr>
        <w:t>种</w:t>
      </w:r>
      <w:r>
        <w:rPr>
          <w:rFonts w:hint="eastAsia"/>
          <w:sz w:val="21"/>
          <w:lang w:eastAsia="zh-CN"/>
        </w:rPr>
        <w:t>，</w:t>
      </w:r>
      <w:r>
        <w:rPr>
          <w:sz w:val="21"/>
        </w:rPr>
        <w:t>病原靶向高通量测序</w:t>
      </w:r>
      <w:r>
        <w:rPr>
          <w:rFonts w:hint="eastAsia"/>
          <w:sz w:val="21"/>
        </w:rPr>
        <w:t>数据库可供分析病原微生物种类≥</w:t>
      </w:r>
      <w:r>
        <w:rPr>
          <w:rFonts w:hint="eastAsia"/>
          <w:sz w:val="21"/>
          <w:lang w:val="en-US" w:eastAsia="zh-CN"/>
        </w:rPr>
        <w:t>200</w:t>
      </w:r>
      <w:r>
        <w:rPr>
          <w:rFonts w:hint="eastAsia"/>
          <w:sz w:val="21"/>
        </w:rPr>
        <w:t>种</w:t>
      </w:r>
      <w:r>
        <w:rPr>
          <w:rFonts w:hint="eastAsia"/>
          <w:sz w:val="21"/>
          <w:lang w:eastAsia="zh-CN"/>
        </w:rPr>
        <w:t>。投标人</w:t>
      </w:r>
      <w:r>
        <w:rPr>
          <w:sz w:val="21"/>
        </w:rPr>
        <w:t>提供注册证复印件并加盖公章。</w:t>
      </w:r>
    </w:p>
    <w:p w14:paraId="789C207F">
      <w:pPr>
        <w:pStyle w:val="5"/>
        <w:ind w:firstLine="480"/>
        <w:jc w:val="both"/>
        <w:rPr>
          <w:rFonts w:hint="eastAsia" w:eastAsiaTheme="minorEastAsia"/>
          <w:sz w:val="21"/>
          <w:lang w:eastAsia="zh-CN"/>
        </w:rPr>
      </w:pPr>
      <w:r>
        <w:rPr>
          <w:b/>
          <w:sz w:val="21"/>
        </w:rPr>
        <w:t>★</w:t>
      </w:r>
      <w:r>
        <w:rPr>
          <w:sz w:val="21"/>
        </w:rPr>
        <w:t>（</w:t>
      </w:r>
      <w:r>
        <w:rPr>
          <w:rFonts w:hint="eastAsia"/>
          <w:sz w:val="21"/>
          <w:lang w:val="en-US" w:eastAsia="zh-CN"/>
        </w:rPr>
        <w:t>3</w:t>
      </w:r>
      <w:r>
        <w:rPr>
          <w:sz w:val="21"/>
        </w:rPr>
        <w:t>）</w:t>
      </w:r>
      <w:r>
        <w:rPr>
          <w:rFonts w:hint="eastAsia"/>
          <w:sz w:val="21"/>
          <w:lang w:eastAsia="zh-CN"/>
        </w:rPr>
        <w:t>实验方法</w:t>
      </w:r>
      <w:r>
        <w:rPr>
          <w:sz w:val="21"/>
        </w:rPr>
        <w:t>：</w:t>
      </w:r>
      <w:r>
        <w:rPr>
          <w:rFonts w:hint="eastAsia" w:eastAsia="宋体"/>
          <w:sz w:val="21"/>
          <w:lang w:eastAsia="zh-CN"/>
        </w:rPr>
        <w:t>探针捕获</w:t>
      </w:r>
      <w:r>
        <w:rPr>
          <w:sz w:val="21"/>
        </w:rPr>
        <w:t>病原高通量测序</w:t>
      </w:r>
      <w:r>
        <w:rPr>
          <w:rFonts w:hint="eastAsia" w:eastAsia="宋体"/>
          <w:sz w:val="21"/>
          <w:lang w:eastAsia="zh-CN"/>
        </w:rPr>
        <w:t>湿实验须包含病原核酸富集流程，核酸富集方法应为探针捕获法。投标人</w:t>
      </w:r>
      <w:r>
        <w:rPr>
          <w:rFonts w:hint="eastAsia"/>
          <w:sz w:val="21"/>
        </w:rPr>
        <w:t>提供相关证明材料</w:t>
      </w:r>
      <w:r>
        <w:rPr>
          <w:rFonts w:hint="eastAsia"/>
          <w:sz w:val="21"/>
          <w:lang w:eastAsia="zh-CN"/>
        </w:rPr>
        <w:t>，</w:t>
      </w:r>
      <w:r>
        <w:rPr>
          <w:sz w:val="21"/>
        </w:rPr>
        <w:t>并加盖公章。</w:t>
      </w:r>
    </w:p>
    <w:p w14:paraId="5B54A4C9">
      <w:pPr>
        <w:pStyle w:val="5"/>
        <w:ind w:firstLine="480"/>
        <w:jc w:val="both"/>
        <w:rPr>
          <w:rFonts w:hint="default"/>
          <w:highlight w:val="none"/>
        </w:rPr>
      </w:pPr>
      <w:r>
        <w:rPr>
          <w:sz w:val="21"/>
          <w:highlight w:val="none"/>
        </w:rPr>
        <w:t>4、技术指标</w:t>
      </w:r>
    </w:p>
    <w:p w14:paraId="7DB70EBF">
      <w:pPr>
        <w:pStyle w:val="5"/>
        <w:ind w:firstLine="420"/>
        <w:jc w:val="both"/>
        <w:rPr>
          <w:rFonts w:hint="default"/>
        </w:rPr>
      </w:pPr>
      <w:r>
        <w:rPr>
          <w:sz w:val="21"/>
        </w:rPr>
        <w:t>★4.1 检测技术指标：</w:t>
      </w:r>
      <w:r>
        <w:rPr>
          <w:rFonts w:ascii="Calibri" w:hAnsi="Calibri" w:eastAsia="宋体" w:cs="Times New Roman"/>
          <w:sz w:val="21"/>
        </w:rPr>
        <w:t>在合同履行过程中检测技术指标须按照以下技术指标要求执行；否则采购人有权终止合同，并上报有关监管部门，同时履约保证金不予退还。（注：提供承诺函并要求提供相关证明材料复印件（如分析软件的数据系统截图等），并加盖投标人公章。格式自定）</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97"/>
        <w:gridCol w:w="4899"/>
      </w:tblGrid>
      <w:tr w14:paraId="73547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F0371F">
            <w:pPr>
              <w:pStyle w:val="5"/>
              <w:ind w:firstLine="380"/>
              <w:jc w:val="center"/>
              <w:rPr>
                <w:rFonts w:hint="default"/>
                <w:lang w:eastAsia="zh-CN"/>
              </w:rPr>
            </w:pPr>
            <w:r>
              <w:rPr>
                <w:sz w:val="21"/>
              </w:rPr>
              <w:t>病原宏基因组高通量测序</w:t>
            </w:r>
            <w:r>
              <w:rPr>
                <w:sz w:val="21"/>
                <w:lang w:eastAsia="zh-CN"/>
              </w:rPr>
              <w:t>（</w:t>
            </w:r>
            <w:r>
              <w:rPr>
                <w:sz w:val="21"/>
              </w:rPr>
              <w:t>DNA+RNA</w:t>
            </w:r>
            <w:r>
              <w:rPr>
                <w:sz w:val="21"/>
                <w:lang w:eastAsia="zh-CN"/>
              </w:rPr>
              <w:t>）</w:t>
            </w:r>
          </w:p>
        </w:tc>
      </w:tr>
      <w:tr w14:paraId="767EF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CE758B">
            <w:pPr>
              <w:pStyle w:val="5"/>
              <w:ind w:firstLine="1213" w:firstLineChars="578"/>
              <w:jc w:val="both"/>
              <w:rPr>
                <w:rFonts w:hint="default"/>
              </w:rPr>
            </w:pPr>
            <w:r>
              <w:rPr>
                <w:sz w:val="21"/>
              </w:rPr>
              <w:t>维度</w:t>
            </w:r>
          </w:p>
        </w:tc>
        <w:tc>
          <w:tcPr>
            <w:tcW w:w="48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C4F8D79">
            <w:pPr>
              <w:pStyle w:val="5"/>
              <w:ind w:firstLine="1843" w:firstLineChars="878"/>
              <w:jc w:val="both"/>
              <w:rPr>
                <w:rFonts w:hint="default"/>
              </w:rPr>
            </w:pPr>
            <w:r>
              <w:rPr>
                <w:sz w:val="21"/>
              </w:rPr>
              <w:t>技术参数</w:t>
            </w:r>
          </w:p>
        </w:tc>
      </w:tr>
      <w:tr w14:paraId="533B4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A4B5A1">
            <w:pPr>
              <w:pStyle w:val="5"/>
              <w:jc w:val="center"/>
              <w:rPr>
                <w:rFonts w:hint="default"/>
                <w:lang w:eastAsia="zh-CN"/>
              </w:rPr>
            </w:pPr>
            <w:r>
              <w:rPr>
                <w:sz w:val="21"/>
              </w:rPr>
              <w:t>上机数据量reads数</w:t>
            </w:r>
          </w:p>
        </w:tc>
        <w:tc>
          <w:tcPr>
            <w:tcW w:w="48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F4E1DE">
            <w:pPr>
              <w:pStyle w:val="5"/>
              <w:ind w:firstLine="2051" w:firstLineChars="977"/>
              <w:jc w:val="both"/>
              <w:rPr>
                <w:rFonts w:hint="default"/>
                <w:lang w:eastAsia="zh-CN"/>
              </w:rPr>
            </w:pPr>
            <w:r>
              <w:rPr>
                <w:sz w:val="21"/>
              </w:rPr>
              <w:t>≥</w:t>
            </w:r>
            <w:r>
              <w:rPr>
                <w:rFonts w:hint="eastAsia"/>
                <w:sz w:val="21"/>
                <w:lang w:val="en-US" w:eastAsia="zh-CN"/>
              </w:rPr>
              <w:t>2</w:t>
            </w:r>
            <w:r>
              <w:rPr>
                <w:sz w:val="21"/>
              </w:rPr>
              <w:t>M</w:t>
            </w:r>
          </w:p>
        </w:tc>
      </w:tr>
      <w:tr w14:paraId="091B0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3A0607">
            <w:pPr>
              <w:pStyle w:val="5"/>
              <w:ind w:firstLine="1213" w:firstLineChars="578"/>
              <w:jc w:val="both"/>
              <w:rPr>
                <w:rFonts w:hint="default"/>
              </w:rPr>
            </w:pPr>
            <w:r>
              <w:rPr>
                <w:sz w:val="21"/>
              </w:rPr>
              <w:t>Q30</w:t>
            </w:r>
          </w:p>
        </w:tc>
        <w:tc>
          <w:tcPr>
            <w:tcW w:w="48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2FE24E">
            <w:pPr>
              <w:pStyle w:val="5"/>
              <w:ind w:firstLine="2051" w:firstLineChars="977"/>
              <w:jc w:val="both"/>
              <w:rPr>
                <w:rFonts w:hint="default"/>
              </w:rPr>
            </w:pPr>
            <w:r>
              <w:rPr>
                <w:sz w:val="21"/>
              </w:rPr>
              <w:t>≥8</w:t>
            </w:r>
            <w:r>
              <w:rPr>
                <w:sz w:val="21"/>
                <w:lang w:eastAsia="zh-CN"/>
              </w:rPr>
              <w:t>5</w:t>
            </w:r>
            <w:r>
              <w:rPr>
                <w:sz w:val="21"/>
              </w:rPr>
              <w:t>%</w:t>
            </w:r>
          </w:p>
        </w:tc>
      </w:tr>
      <w:tr w14:paraId="661B1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4DFF0">
            <w:pPr>
              <w:pStyle w:val="5"/>
              <w:ind w:firstLine="380"/>
              <w:jc w:val="center"/>
              <w:rPr>
                <w:rFonts w:hint="default"/>
              </w:rPr>
            </w:pPr>
            <w:r>
              <w:rPr>
                <w:rFonts w:hint="eastAsia" w:eastAsia="宋体"/>
                <w:sz w:val="21"/>
                <w:lang w:eastAsia="zh-CN"/>
              </w:rPr>
              <w:t>探针捕获</w:t>
            </w:r>
            <w:r>
              <w:rPr>
                <w:sz w:val="21"/>
              </w:rPr>
              <w:t>病原高通量测序</w:t>
            </w:r>
          </w:p>
        </w:tc>
      </w:tr>
      <w:tr w14:paraId="5401D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4AEFDF">
            <w:pPr>
              <w:pStyle w:val="5"/>
              <w:ind w:firstLine="1213" w:firstLineChars="578"/>
              <w:jc w:val="both"/>
              <w:rPr>
                <w:rFonts w:hint="default"/>
              </w:rPr>
            </w:pPr>
            <w:r>
              <w:rPr>
                <w:sz w:val="21"/>
              </w:rPr>
              <w:t>维度</w:t>
            </w:r>
          </w:p>
        </w:tc>
        <w:tc>
          <w:tcPr>
            <w:tcW w:w="48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4254D3D">
            <w:pPr>
              <w:pStyle w:val="5"/>
              <w:ind w:firstLine="1843" w:firstLineChars="878"/>
              <w:jc w:val="both"/>
              <w:rPr>
                <w:rFonts w:hint="default"/>
              </w:rPr>
            </w:pPr>
            <w:r>
              <w:rPr>
                <w:sz w:val="21"/>
              </w:rPr>
              <w:t>技术参数</w:t>
            </w:r>
          </w:p>
        </w:tc>
      </w:tr>
      <w:tr w14:paraId="7B9E8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430064">
            <w:pPr>
              <w:pStyle w:val="5"/>
              <w:ind w:firstLine="630" w:firstLineChars="300"/>
              <w:jc w:val="both"/>
              <w:rPr>
                <w:rFonts w:hint="default"/>
              </w:rPr>
            </w:pPr>
            <w:r>
              <w:rPr>
                <w:sz w:val="21"/>
              </w:rPr>
              <w:t>上机数据量reads数</w:t>
            </w:r>
          </w:p>
        </w:tc>
        <w:tc>
          <w:tcPr>
            <w:tcW w:w="48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31D3B4">
            <w:pPr>
              <w:pStyle w:val="5"/>
              <w:ind w:firstLine="2051" w:firstLineChars="977"/>
              <w:jc w:val="both"/>
              <w:rPr>
                <w:rFonts w:hint="default" w:eastAsiaTheme="minorEastAsia"/>
                <w:lang w:val="en-US" w:eastAsia="zh-CN"/>
              </w:rPr>
            </w:pPr>
            <w:r>
              <w:rPr>
                <w:sz w:val="21"/>
              </w:rPr>
              <w:t>≥</w:t>
            </w:r>
            <w:r>
              <w:rPr>
                <w:rFonts w:hint="eastAsia"/>
                <w:sz w:val="21"/>
                <w:lang w:val="en-US" w:eastAsia="zh-CN"/>
              </w:rPr>
              <w:t>1M</w:t>
            </w:r>
          </w:p>
        </w:tc>
      </w:tr>
      <w:tr w14:paraId="10731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2B12211">
            <w:pPr>
              <w:pStyle w:val="5"/>
              <w:ind w:firstLine="1213" w:firstLineChars="578"/>
              <w:jc w:val="both"/>
              <w:rPr>
                <w:rFonts w:hint="default"/>
              </w:rPr>
            </w:pPr>
            <w:r>
              <w:rPr>
                <w:sz w:val="21"/>
              </w:rPr>
              <w:t>Q30</w:t>
            </w:r>
          </w:p>
        </w:tc>
        <w:tc>
          <w:tcPr>
            <w:tcW w:w="4899"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333B2FF">
            <w:pPr>
              <w:pStyle w:val="5"/>
              <w:ind w:firstLine="2051" w:firstLineChars="977"/>
              <w:jc w:val="both"/>
              <w:rPr>
                <w:rFonts w:hint="default"/>
              </w:rPr>
            </w:pPr>
            <w:r>
              <w:rPr>
                <w:sz w:val="21"/>
              </w:rPr>
              <w:t>≥8</w:t>
            </w:r>
            <w:r>
              <w:rPr>
                <w:sz w:val="21"/>
                <w:lang w:eastAsia="zh-CN"/>
              </w:rPr>
              <w:t>5</w:t>
            </w:r>
            <w:r>
              <w:rPr>
                <w:sz w:val="21"/>
              </w:rPr>
              <w:t>%</w:t>
            </w:r>
          </w:p>
        </w:tc>
      </w:tr>
      <w:tr w14:paraId="3D73DF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1A458BE5">
            <w:pPr>
              <w:pStyle w:val="5"/>
              <w:ind w:firstLine="3311" w:firstLineChars="1577"/>
              <w:jc w:val="both"/>
              <w:rPr>
                <w:sz w:val="21"/>
              </w:rPr>
            </w:pPr>
            <w:r>
              <w:rPr>
                <w:sz w:val="21"/>
              </w:rPr>
              <w:t>病原靶向高通量测序</w:t>
            </w:r>
          </w:p>
        </w:tc>
      </w:tr>
      <w:tr w14:paraId="430A4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6794698F">
            <w:pPr>
              <w:pStyle w:val="5"/>
              <w:ind w:firstLine="1213" w:firstLineChars="578"/>
              <w:jc w:val="both"/>
              <w:rPr>
                <w:rFonts w:hint="default" w:asciiTheme="minorHAnsi" w:hAnsiTheme="minorHAnsi" w:eastAsiaTheme="minorEastAsia" w:cstheme="minorBidi"/>
                <w:lang w:val="en-US" w:eastAsia="zh-Hans" w:bidi="ar-SA"/>
              </w:rPr>
            </w:pPr>
            <w:r>
              <w:rPr>
                <w:sz w:val="21"/>
              </w:rPr>
              <w:t>维度</w:t>
            </w:r>
          </w:p>
        </w:tc>
        <w:tc>
          <w:tcPr>
            <w:tcW w:w="489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2A805EB5">
            <w:pPr>
              <w:pStyle w:val="5"/>
              <w:ind w:firstLine="1843" w:firstLineChars="878"/>
              <w:jc w:val="both"/>
              <w:rPr>
                <w:rFonts w:hint="default" w:asciiTheme="minorHAnsi" w:hAnsiTheme="minorHAnsi" w:eastAsiaTheme="minorEastAsia" w:cstheme="minorBidi"/>
                <w:lang w:val="en-US" w:eastAsia="zh-Hans" w:bidi="ar-SA"/>
              </w:rPr>
            </w:pPr>
            <w:r>
              <w:rPr>
                <w:sz w:val="21"/>
              </w:rPr>
              <w:t>技术参数</w:t>
            </w:r>
          </w:p>
        </w:tc>
      </w:tr>
      <w:tr w14:paraId="02224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11D7DF97">
            <w:pPr>
              <w:pStyle w:val="5"/>
              <w:ind w:firstLine="630" w:firstLineChars="300"/>
              <w:jc w:val="both"/>
              <w:rPr>
                <w:rFonts w:hint="default" w:asciiTheme="minorHAnsi" w:hAnsiTheme="minorHAnsi" w:eastAsiaTheme="minorEastAsia" w:cstheme="minorBidi"/>
                <w:lang w:val="en-US" w:eastAsia="zh-Hans" w:bidi="ar-SA"/>
              </w:rPr>
            </w:pPr>
            <w:r>
              <w:rPr>
                <w:sz w:val="21"/>
              </w:rPr>
              <w:t>上机数据量reads数</w:t>
            </w:r>
          </w:p>
        </w:tc>
        <w:tc>
          <w:tcPr>
            <w:tcW w:w="489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51464BFA">
            <w:pPr>
              <w:pStyle w:val="5"/>
              <w:ind w:firstLine="2051" w:firstLineChars="977"/>
              <w:jc w:val="both"/>
              <w:rPr>
                <w:rFonts w:hint="default" w:asciiTheme="minorHAnsi" w:hAnsiTheme="minorHAnsi" w:eastAsiaTheme="minorEastAsia" w:cstheme="minorBidi"/>
                <w:lang w:val="en-US" w:eastAsia="zh-CN" w:bidi="ar-SA"/>
              </w:rPr>
            </w:pPr>
            <w:r>
              <w:rPr>
                <w:sz w:val="21"/>
              </w:rPr>
              <w:t>≥</w:t>
            </w:r>
            <w:r>
              <w:rPr>
                <w:rFonts w:hint="eastAsia"/>
                <w:sz w:val="21"/>
                <w:lang w:val="en-US" w:eastAsia="zh-CN"/>
              </w:rPr>
              <w:t xml:space="preserve">100k </w:t>
            </w:r>
          </w:p>
        </w:tc>
      </w:tr>
      <w:tr w14:paraId="0CEAE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7759D1FB">
            <w:pPr>
              <w:pStyle w:val="5"/>
              <w:ind w:firstLine="1213" w:firstLineChars="578"/>
              <w:jc w:val="both"/>
              <w:rPr>
                <w:rFonts w:hint="default" w:asciiTheme="minorHAnsi" w:hAnsiTheme="minorHAnsi" w:eastAsiaTheme="minorEastAsia" w:cstheme="minorBidi"/>
                <w:lang w:val="en-US" w:eastAsia="zh-Hans" w:bidi="ar-SA"/>
              </w:rPr>
            </w:pPr>
            <w:r>
              <w:rPr>
                <w:sz w:val="21"/>
              </w:rPr>
              <w:t>Q30</w:t>
            </w:r>
          </w:p>
        </w:tc>
        <w:tc>
          <w:tcPr>
            <w:tcW w:w="489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2905EB44">
            <w:pPr>
              <w:pStyle w:val="5"/>
              <w:ind w:firstLine="2051" w:firstLineChars="977"/>
              <w:jc w:val="both"/>
              <w:rPr>
                <w:rFonts w:hint="default" w:asciiTheme="minorHAnsi" w:hAnsiTheme="minorHAnsi" w:eastAsiaTheme="minorEastAsia" w:cstheme="minorBidi"/>
                <w:lang w:val="en-US" w:eastAsia="zh-Hans" w:bidi="ar-SA"/>
              </w:rPr>
            </w:pPr>
            <w:r>
              <w:rPr>
                <w:sz w:val="21"/>
              </w:rPr>
              <w:t>≥8</w:t>
            </w:r>
            <w:r>
              <w:rPr>
                <w:sz w:val="21"/>
                <w:lang w:eastAsia="zh-CN"/>
              </w:rPr>
              <w:t>5</w:t>
            </w:r>
            <w:r>
              <w:rPr>
                <w:sz w:val="21"/>
              </w:rPr>
              <w:t>%</w:t>
            </w:r>
          </w:p>
        </w:tc>
      </w:tr>
    </w:tbl>
    <w:p w14:paraId="4807EFC3">
      <w:pPr>
        <w:pStyle w:val="5"/>
        <w:ind w:firstLine="480"/>
        <w:jc w:val="both"/>
        <w:rPr>
          <w:rFonts w:hint="default"/>
        </w:rPr>
      </w:pPr>
      <w:r>
        <w:rPr>
          <w:sz w:val="21"/>
        </w:rPr>
        <w:t>4.2 数据库要求</w:t>
      </w:r>
    </w:p>
    <w:p w14:paraId="1B82C830">
      <w:pPr>
        <w:pStyle w:val="5"/>
        <w:ind w:firstLine="480"/>
        <w:jc w:val="both"/>
        <w:rPr>
          <w:rFonts w:hint="default"/>
        </w:rPr>
      </w:pPr>
      <w:r>
        <w:rPr>
          <w:sz w:val="21"/>
        </w:rPr>
        <w:t>▲</w:t>
      </w:r>
      <w:r>
        <w:rPr>
          <w:bCs/>
          <w:sz w:val="21"/>
        </w:rPr>
        <w:t>（</w:t>
      </w:r>
      <w:r>
        <w:rPr>
          <w:bCs/>
          <w:sz w:val="21"/>
          <w:lang w:eastAsia="zh-CN"/>
        </w:rPr>
        <w:t>1</w:t>
      </w:r>
      <w:r>
        <w:rPr>
          <w:bCs/>
          <w:sz w:val="21"/>
        </w:rPr>
        <w:t>）</w:t>
      </w:r>
      <w:r>
        <w:rPr>
          <w:sz w:val="21"/>
        </w:rPr>
        <w:t>新发/罕见病原检测能力要求：数据库提供输入性、新发突发病原体发现、鉴定、突变与全基因组学进化分析。而且投标人具备在高通量测序技术平台上进行新发病原检测、溯源的能力，在投标过程中需提供病原检测（高通量测序平台）试剂盒和软件的证明文件。</w:t>
      </w:r>
    </w:p>
    <w:p w14:paraId="08CE88F6">
      <w:pPr>
        <w:pStyle w:val="5"/>
        <w:ind w:firstLine="480"/>
        <w:jc w:val="both"/>
        <w:rPr>
          <w:rFonts w:hint="default"/>
        </w:rPr>
      </w:pPr>
      <w:r>
        <w:rPr>
          <w:sz w:val="21"/>
        </w:rPr>
        <w:t>4.3 检测要求</w:t>
      </w:r>
    </w:p>
    <w:p w14:paraId="5963F9CD">
      <w:pPr>
        <w:pStyle w:val="5"/>
        <w:ind w:firstLine="480"/>
        <w:jc w:val="both"/>
        <w:rPr>
          <w:rFonts w:hint="default"/>
        </w:rPr>
      </w:pPr>
      <w:r>
        <w:rPr>
          <w:sz w:val="21"/>
        </w:rPr>
        <w:t>▲（1）投标人提供的病原宏基因组学检测技术要求对临床有意义的病原微生物具备重点检测能力，对临床样本中检出率较高的95％以上的病原微生物种类具有重点捕获能力，以提高检测灵敏度和特异性，需提供相关技术支持证明材料，并加盖公章。</w:t>
      </w:r>
    </w:p>
    <w:p w14:paraId="19579ECF">
      <w:pPr>
        <w:pStyle w:val="5"/>
        <w:ind w:firstLine="480"/>
        <w:jc w:val="both"/>
        <w:rPr>
          <w:rFonts w:hint="default"/>
        </w:rPr>
      </w:pPr>
      <w:r>
        <w:rPr>
          <w:sz w:val="21"/>
        </w:rPr>
        <w:t>▲（2）投标人提供的病原靶向高通量测序检测技术要求能检测临床各类型样本（见2.1 可接收样本类型要求）中的细菌，真菌，病毒(含亚型)，以及寄生虫。需提供可靠技术文档证明，并加盖公章。</w:t>
      </w:r>
    </w:p>
    <w:p w14:paraId="2203DC80">
      <w:pPr>
        <w:pStyle w:val="5"/>
        <w:ind w:firstLine="480"/>
        <w:jc w:val="both"/>
        <w:rPr>
          <w:rFonts w:hint="default"/>
        </w:rPr>
      </w:pPr>
      <w:r>
        <w:rPr>
          <w:sz w:val="21"/>
        </w:rPr>
        <w:t>5、质量要求</w:t>
      </w:r>
    </w:p>
    <w:p w14:paraId="3DB77050">
      <w:pPr>
        <w:pStyle w:val="5"/>
        <w:ind w:firstLine="480"/>
        <w:jc w:val="both"/>
        <w:rPr>
          <w:rFonts w:hint="default"/>
        </w:rPr>
      </w:pPr>
      <w:r>
        <w:rPr>
          <w:sz w:val="21"/>
        </w:rPr>
        <w:t>5.1 质控体系要求</w:t>
      </w:r>
    </w:p>
    <w:p w14:paraId="65A24337">
      <w:pPr>
        <w:pStyle w:val="5"/>
        <w:ind w:firstLine="480"/>
        <w:jc w:val="both"/>
        <w:rPr>
          <w:rFonts w:hint="default"/>
        </w:rPr>
      </w:pPr>
      <w:r>
        <w:rPr>
          <w:sz w:val="21"/>
        </w:rPr>
        <w:t>中标人受委托项目均需按日或检测批次进行室内质控，按月提供室内质量控制报表，其内容包括但不限于质控检测数据、评判标准、质控分析、失控报告、整改措施。要求提供相关技术文档或SOP，并加盖公章。</w:t>
      </w:r>
    </w:p>
    <w:p w14:paraId="553C8234">
      <w:pPr>
        <w:pStyle w:val="5"/>
        <w:ind w:firstLine="480"/>
        <w:jc w:val="both"/>
        <w:rPr>
          <w:rFonts w:hint="default"/>
        </w:rPr>
      </w:pPr>
      <w:r>
        <w:rPr>
          <w:b/>
          <w:sz w:val="21"/>
        </w:rPr>
        <w:t>★</w:t>
      </w:r>
      <w:r>
        <w:rPr>
          <w:sz w:val="21"/>
        </w:rPr>
        <w:t>5.2室间质评参与要求</w:t>
      </w:r>
    </w:p>
    <w:p w14:paraId="2A639844">
      <w:pPr>
        <w:pStyle w:val="5"/>
        <w:ind w:firstLine="480"/>
        <w:jc w:val="both"/>
        <w:rPr>
          <w:rFonts w:hint="default"/>
        </w:rPr>
      </w:pPr>
      <w:r>
        <w:rPr>
          <w:sz w:val="21"/>
        </w:rPr>
        <w:t>投标人需参加</w:t>
      </w:r>
      <w:r>
        <w:rPr>
          <w:rFonts w:hint="eastAsia"/>
          <w:sz w:val="21"/>
          <w:lang w:eastAsia="zh-CN"/>
        </w:rPr>
        <w:t>省级及以上病原</w:t>
      </w:r>
      <w:r>
        <w:rPr>
          <w:sz w:val="21"/>
        </w:rPr>
        <w:t>宏基因组高通量测序室间质量评价，要求成绩合格。要求提供考核合格证明材料，并加盖公章。</w:t>
      </w:r>
    </w:p>
    <w:p w14:paraId="17178F4C">
      <w:pPr>
        <w:pStyle w:val="5"/>
        <w:ind w:firstLine="480"/>
        <w:jc w:val="both"/>
        <w:rPr>
          <w:rFonts w:hint="default"/>
        </w:rPr>
      </w:pPr>
      <w:r>
        <w:rPr>
          <w:sz w:val="21"/>
        </w:rPr>
        <w:t>▲5.3 检测质量管理要求</w:t>
      </w:r>
    </w:p>
    <w:p w14:paraId="3FEDDE80">
      <w:pPr>
        <w:pStyle w:val="5"/>
        <w:ind w:firstLine="480"/>
        <w:jc w:val="both"/>
        <w:rPr>
          <w:rFonts w:hint="default"/>
        </w:rPr>
      </w:pPr>
      <w:r>
        <w:rPr>
          <w:sz w:val="21"/>
        </w:rPr>
        <w:t>质量监控具有测序参数监控（样本），污染监控，检出阳性率分布，病原谱频率分布，耐药基因频率分布，毒力基因频率分布等功能，具有背景微生物判断的能力，提供更为准确的判断结果。提供软件界面截图证明并加盖公章。</w:t>
      </w:r>
    </w:p>
    <w:p w14:paraId="3B9C9A7D">
      <w:pPr>
        <w:pStyle w:val="5"/>
        <w:ind w:firstLine="480"/>
        <w:jc w:val="both"/>
        <w:rPr>
          <w:rFonts w:hint="default"/>
        </w:rPr>
      </w:pPr>
      <w:r>
        <w:rPr>
          <w:sz w:val="21"/>
        </w:rPr>
        <w:t>▲5.4 数据质量管理要求</w:t>
      </w:r>
    </w:p>
    <w:p w14:paraId="0DCE6E62">
      <w:pPr>
        <w:pStyle w:val="5"/>
        <w:ind w:firstLine="480"/>
        <w:jc w:val="both"/>
        <w:rPr>
          <w:rFonts w:hint="default"/>
        </w:rPr>
      </w:pPr>
      <w:r>
        <w:rPr>
          <w:sz w:val="21"/>
        </w:rPr>
        <w:t>检测过程中具有数据分析及质量监控，包括但不限于病原微生物基因组数据库建设过程，测序数据分析与质控方法，测序分析与报告系统，并能提供相应证明材料例如专利和软著等。</w:t>
      </w:r>
    </w:p>
    <w:p w14:paraId="350F0B70">
      <w:pPr>
        <w:pStyle w:val="5"/>
        <w:ind w:firstLine="480"/>
        <w:jc w:val="both"/>
        <w:rPr>
          <w:rFonts w:hint="default"/>
        </w:rPr>
      </w:pPr>
      <w:r>
        <w:rPr>
          <w:b/>
          <w:sz w:val="21"/>
        </w:rPr>
        <w:t>★</w:t>
      </w:r>
      <w:r>
        <w:rPr>
          <w:sz w:val="21"/>
        </w:rPr>
        <w:t>5.5 试剂体系要求</w:t>
      </w:r>
    </w:p>
    <w:p w14:paraId="7686CFBA">
      <w:pPr>
        <w:pStyle w:val="5"/>
        <w:ind w:firstLine="480"/>
        <w:jc w:val="both"/>
        <w:rPr>
          <w:rFonts w:hint="default"/>
          <w:sz w:val="21"/>
          <w:szCs w:val="21"/>
        </w:rPr>
      </w:pPr>
      <w:r>
        <w:rPr>
          <w:rFonts w:hint="default"/>
          <w:sz w:val="21"/>
          <w:szCs w:val="21"/>
        </w:rPr>
        <w:t>投标人提供的检测配套试剂包括样本前处理试剂、核酸提取试剂、文库构建试剂</w:t>
      </w:r>
      <w:r>
        <w:rPr>
          <w:rFonts w:hint="eastAsia"/>
          <w:sz w:val="21"/>
          <w:szCs w:val="21"/>
          <w:lang w:val="en-US" w:eastAsia="zh-CN"/>
        </w:rPr>
        <w:t>(除</w:t>
      </w:r>
      <w:r>
        <w:rPr>
          <w:sz w:val="21"/>
        </w:rPr>
        <w:t>病原靶向高通量测序</w:t>
      </w:r>
      <w:r>
        <w:rPr>
          <w:rFonts w:hint="eastAsia"/>
          <w:sz w:val="21"/>
          <w:lang w:eastAsia="zh-CN"/>
        </w:rPr>
        <w:t>外</w:t>
      </w:r>
      <w:r>
        <w:rPr>
          <w:rFonts w:hint="eastAsia"/>
          <w:sz w:val="21"/>
          <w:szCs w:val="21"/>
          <w:lang w:val="en-US" w:eastAsia="zh-CN"/>
        </w:rPr>
        <w:t>)</w:t>
      </w:r>
      <w:r>
        <w:rPr>
          <w:rFonts w:hint="default"/>
          <w:sz w:val="21"/>
          <w:szCs w:val="21"/>
        </w:rPr>
        <w:t>、测序试剂；投标人须提供以上试剂在有效期内的医疗器械注册证或一类备案证，复印件并加盖投标人公章。</w:t>
      </w:r>
    </w:p>
    <w:p w14:paraId="1C7860AC">
      <w:pPr>
        <w:pStyle w:val="5"/>
        <w:ind w:firstLine="480"/>
        <w:jc w:val="both"/>
        <w:rPr>
          <w:rFonts w:hint="default"/>
        </w:rPr>
      </w:pPr>
      <w:r>
        <w:rPr>
          <w:sz w:val="21"/>
        </w:rPr>
        <w:t>5.6 质量文件体系要求</w:t>
      </w:r>
    </w:p>
    <w:p w14:paraId="0229AA3D">
      <w:pPr>
        <w:pStyle w:val="5"/>
        <w:ind w:firstLine="480"/>
        <w:jc w:val="both"/>
        <w:rPr>
          <w:rFonts w:hint="default"/>
        </w:rPr>
      </w:pPr>
      <w:r>
        <w:rPr>
          <w:sz w:val="21"/>
        </w:rPr>
        <w:t>中标人按采购人要求，可以随时提供质量和技术资料，如受控SOP文件、试剂说明书、性能验证报告、每月室内质控报表、室间质评合格证书、室间比对报告等资料供采购人检验科或其他相关实验室审核。</w:t>
      </w:r>
    </w:p>
    <w:p w14:paraId="43E74ED2">
      <w:pPr>
        <w:pStyle w:val="5"/>
        <w:ind w:firstLine="480"/>
        <w:jc w:val="both"/>
        <w:rPr>
          <w:rFonts w:hint="default"/>
        </w:rPr>
      </w:pPr>
      <w:r>
        <w:rPr>
          <w:sz w:val="21"/>
        </w:rPr>
        <w:t>6、交付要求</w:t>
      </w:r>
    </w:p>
    <w:p w14:paraId="7B9D124A">
      <w:pPr>
        <w:pStyle w:val="5"/>
        <w:ind w:firstLine="480"/>
        <w:jc w:val="both"/>
        <w:rPr>
          <w:rFonts w:hint="default"/>
        </w:rPr>
      </w:pPr>
      <w:r>
        <w:rPr>
          <w:sz w:val="21"/>
        </w:rPr>
        <w:t>▲6.1 交付时效性要求</w:t>
      </w:r>
    </w:p>
    <w:p w14:paraId="6CB0B668">
      <w:pPr>
        <w:pStyle w:val="5"/>
        <w:ind w:firstLine="480"/>
        <w:jc w:val="both"/>
        <w:rPr>
          <w:rFonts w:hint="default"/>
          <w:sz w:val="21"/>
          <w:lang w:eastAsia="zh-CN"/>
        </w:rPr>
      </w:pPr>
      <w:r>
        <w:rPr>
          <w:sz w:val="21"/>
          <w:lang w:eastAsia="zh-CN"/>
        </w:rPr>
        <w:t>1.</w:t>
      </w:r>
      <w:r>
        <w:rPr>
          <w:sz w:val="21"/>
        </w:rPr>
        <w:t>中标人</w:t>
      </w:r>
      <w:r>
        <w:rPr>
          <w:sz w:val="21"/>
          <w:lang w:eastAsia="zh-CN"/>
        </w:rPr>
        <w:t>根据样本采集时间</w:t>
      </w:r>
      <w:r>
        <w:rPr>
          <w:sz w:val="21"/>
        </w:rPr>
        <w:t>，须</w:t>
      </w:r>
      <w:r>
        <w:rPr>
          <w:sz w:val="21"/>
          <w:lang w:eastAsia="zh-CN"/>
        </w:rPr>
        <w:t>及时安排样本转运、接收、检验，</w:t>
      </w:r>
      <w:r>
        <w:rPr>
          <w:sz w:val="21"/>
        </w:rPr>
        <w:t>按以下列表中发报告时间要求向采购人交付数据和检验报告，特殊检验样本按采购人的要求交付周期进行交付。如因中标人原因不能按时出具报告或者检验报告出现错误的，中标人应当承担相应的法律责任。</w:t>
      </w:r>
    </w:p>
    <w:tbl>
      <w:tblPr>
        <w:tblStyle w:val="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1782"/>
        <w:gridCol w:w="3863"/>
      </w:tblGrid>
      <w:tr w14:paraId="5B307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52B8DCDF">
            <w:pPr>
              <w:pStyle w:val="5"/>
              <w:rPr>
                <w:rFonts w:hint="default"/>
                <w:sz w:val="21"/>
              </w:rPr>
            </w:pPr>
            <w:r>
              <w:rPr>
                <w:sz w:val="21"/>
              </w:rPr>
              <w:t>序号</w:t>
            </w:r>
          </w:p>
        </w:tc>
        <w:tc>
          <w:tcPr>
            <w:tcW w:w="1782"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0EB85260">
            <w:pPr>
              <w:pStyle w:val="5"/>
              <w:rPr>
                <w:rFonts w:hint="default"/>
                <w:sz w:val="21"/>
                <w:lang w:eastAsia="zh-CN"/>
              </w:rPr>
            </w:pPr>
            <w:r>
              <w:rPr>
                <w:sz w:val="21"/>
                <w:lang w:eastAsia="zh-CN"/>
              </w:rPr>
              <w:t>采样时间</w:t>
            </w:r>
          </w:p>
        </w:tc>
        <w:tc>
          <w:tcPr>
            <w:tcW w:w="3863"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1CB7C6BD">
            <w:pPr>
              <w:pStyle w:val="5"/>
              <w:rPr>
                <w:rFonts w:hint="default"/>
                <w:sz w:val="21"/>
              </w:rPr>
            </w:pPr>
            <w:r>
              <w:rPr>
                <w:sz w:val="21"/>
              </w:rPr>
              <w:t>报告交付时间（≤以下时间）</w:t>
            </w:r>
          </w:p>
        </w:tc>
      </w:tr>
      <w:tr w14:paraId="68A8F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F2C762D">
            <w:pPr>
              <w:pStyle w:val="5"/>
              <w:rPr>
                <w:rFonts w:hint="default"/>
                <w:sz w:val="21"/>
                <w:lang w:eastAsia="zh-CN"/>
              </w:rPr>
            </w:pPr>
            <w:r>
              <w:rPr>
                <w:sz w:val="21"/>
                <w:lang w:eastAsia="zh-CN"/>
              </w:rPr>
              <w:t>1</w:t>
            </w:r>
          </w:p>
        </w:tc>
        <w:tc>
          <w:tcPr>
            <w:tcW w:w="17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D8B94FF">
            <w:pPr>
              <w:pStyle w:val="5"/>
              <w:rPr>
                <w:rFonts w:hint="default"/>
                <w:sz w:val="21"/>
                <w:lang w:eastAsia="zh-CN"/>
              </w:rPr>
            </w:pPr>
            <w:r>
              <w:rPr>
                <w:sz w:val="21"/>
                <w:lang w:eastAsia="zh-CN"/>
              </w:rPr>
              <w:t>当天</w:t>
            </w:r>
            <w:r>
              <w:rPr>
                <w:rFonts w:hint="eastAsia"/>
                <w:sz w:val="21"/>
                <w:lang w:val="en-US" w:eastAsia="zh-CN"/>
              </w:rPr>
              <w:t>17</w:t>
            </w:r>
            <w:r>
              <w:rPr>
                <w:sz w:val="21"/>
                <w:lang w:eastAsia="zh-CN"/>
              </w:rPr>
              <w:t>:00前</w:t>
            </w:r>
          </w:p>
        </w:tc>
        <w:tc>
          <w:tcPr>
            <w:tcW w:w="3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1402BBB">
            <w:pPr>
              <w:pStyle w:val="5"/>
              <w:ind w:firstLine="480"/>
              <w:rPr>
                <w:rFonts w:hint="default"/>
                <w:sz w:val="21"/>
                <w:lang w:eastAsia="zh-CN"/>
              </w:rPr>
            </w:pPr>
            <w:r>
              <w:rPr>
                <w:sz w:val="21"/>
                <w:lang w:eastAsia="zh-CN"/>
              </w:rPr>
              <w:t>第二天</w:t>
            </w:r>
            <w:r>
              <w:rPr>
                <w:rFonts w:hint="eastAsia"/>
                <w:sz w:val="21"/>
                <w:lang w:val="en-US" w:eastAsia="zh-CN"/>
              </w:rPr>
              <w:t>17</w:t>
            </w:r>
            <w:r>
              <w:rPr>
                <w:sz w:val="21"/>
                <w:lang w:eastAsia="zh-CN"/>
              </w:rPr>
              <w:t>:00前</w:t>
            </w:r>
          </w:p>
        </w:tc>
      </w:tr>
      <w:tr w14:paraId="7C18F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218F437">
            <w:pPr>
              <w:pStyle w:val="5"/>
              <w:rPr>
                <w:rFonts w:hint="default"/>
                <w:sz w:val="21"/>
                <w:lang w:eastAsia="zh-CN"/>
              </w:rPr>
            </w:pPr>
            <w:r>
              <w:rPr>
                <w:sz w:val="21"/>
                <w:lang w:eastAsia="zh-CN"/>
              </w:rPr>
              <w:t>2</w:t>
            </w:r>
          </w:p>
        </w:tc>
        <w:tc>
          <w:tcPr>
            <w:tcW w:w="17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3CD5ABC">
            <w:pPr>
              <w:pStyle w:val="5"/>
              <w:rPr>
                <w:rFonts w:hint="eastAsia" w:eastAsiaTheme="minorEastAsia"/>
                <w:sz w:val="21"/>
                <w:lang w:val="en-US" w:eastAsia="zh-CN"/>
              </w:rPr>
            </w:pPr>
            <w:r>
              <w:rPr>
                <w:sz w:val="21"/>
                <w:lang w:eastAsia="zh-CN"/>
              </w:rPr>
              <w:t>当天</w:t>
            </w:r>
            <w:r>
              <w:rPr>
                <w:rFonts w:hint="eastAsia"/>
                <w:sz w:val="21"/>
                <w:lang w:val="en-US" w:eastAsia="zh-CN"/>
              </w:rPr>
              <w:t>17:00后</w:t>
            </w:r>
          </w:p>
        </w:tc>
        <w:tc>
          <w:tcPr>
            <w:tcW w:w="3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7EEEC52">
            <w:pPr>
              <w:pStyle w:val="5"/>
              <w:ind w:firstLine="480"/>
              <w:rPr>
                <w:rFonts w:hint="default"/>
                <w:sz w:val="21"/>
              </w:rPr>
            </w:pPr>
            <w:r>
              <w:rPr>
                <w:sz w:val="21"/>
                <w:lang w:eastAsia="zh-CN"/>
              </w:rPr>
              <w:t>第二天</w:t>
            </w:r>
            <w:r>
              <w:rPr>
                <w:rFonts w:hint="eastAsia"/>
                <w:sz w:val="21"/>
                <w:lang w:val="en-US" w:eastAsia="zh-CN"/>
              </w:rPr>
              <w:t>22</w:t>
            </w:r>
            <w:r>
              <w:rPr>
                <w:sz w:val="21"/>
                <w:lang w:eastAsia="zh-CN"/>
              </w:rPr>
              <w:t>:00前</w:t>
            </w:r>
          </w:p>
        </w:tc>
      </w:tr>
    </w:tbl>
    <w:p w14:paraId="5233E66C">
      <w:pPr>
        <w:pStyle w:val="5"/>
        <w:ind w:firstLine="480"/>
        <w:jc w:val="both"/>
        <w:rPr>
          <w:rFonts w:hint="default"/>
        </w:rPr>
      </w:pPr>
      <w:r>
        <w:rPr>
          <w:sz w:val="21"/>
        </w:rPr>
        <w:t>6.2 数据交付：定期每月交付原始FASTQ测序数据文件（中标人指派专人通过移动硬盘的方式将数据交付到采购人指定地点）。</w:t>
      </w:r>
    </w:p>
    <w:p w14:paraId="734AA944">
      <w:pPr>
        <w:pStyle w:val="5"/>
        <w:ind w:firstLine="480"/>
        <w:jc w:val="both"/>
        <w:rPr>
          <w:rFonts w:hint="default"/>
        </w:rPr>
      </w:pPr>
      <w:r>
        <w:rPr>
          <w:sz w:val="21"/>
        </w:rPr>
        <w:t>7.系统管理：</w:t>
      </w:r>
    </w:p>
    <w:p w14:paraId="6D31C7C6">
      <w:pPr>
        <w:pStyle w:val="5"/>
        <w:ind w:firstLine="480"/>
        <w:jc w:val="both"/>
        <w:rPr>
          <w:rFonts w:hint="default"/>
        </w:rPr>
      </w:pPr>
      <w:r>
        <w:rPr>
          <w:sz w:val="21"/>
        </w:rPr>
        <w:t>★（1）要求投标人提供个性化的病原宏基因</w:t>
      </w:r>
      <w:r>
        <w:rPr>
          <w:rFonts w:hint="eastAsia"/>
          <w:sz w:val="21"/>
          <w:lang w:eastAsia="zh-CN"/>
        </w:rPr>
        <w:t>、</w:t>
      </w:r>
      <w:r>
        <w:rPr>
          <w:sz w:val="21"/>
        </w:rPr>
        <w:t>病原靶向高通量测序样本信息管理系统，兼容医院信息管理系统。投标人须承诺检测报告实时网络传送，实现检测结果双传输功能，检测结果要上传到采购人LIS系统。每日检测完毕，以电子版形式批量自动化向采购人提供PDF患者报告</w:t>
      </w:r>
      <w:r>
        <w:rPr>
          <w:rFonts w:hint="eastAsia"/>
          <w:sz w:val="21"/>
          <w:lang w:eastAsia="zh-CN"/>
        </w:rPr>
        <w:t>和</w:t>
      </w:r>
      <w:r>
        <w:rPr>
          <w:sz w:val="21"/>
        </w:rPr>
        <w:t>原始EXCEL物种列表；患者报告内容包括物种、序列数、相对丰度、鉴定置信度、基因组覆盖图、耐药基因和毒力基因。投标人负责与医院LIS和HIS系统对接,并负责LIS和HIS系统对接产生的所有费用，该费用包含在投标报价中。（注：提供承诺函并加盖投标人公章，格式自定）</w:t>
      </w:r>
    </w:p>
    <w:p w14:paraId="0495774E">
      <w:pPr>
        <w:pStyle w:val="5"/>
        <w:ind w:firstLine="480"/>
        <w:jc w:val="both"/>
        <w:rPr>
          <w:rFonts w:hint="default"/>
        </w:rPr>
      </w:pPr>
      <w:r>
        <w:rPr>
          <w:sz w:val="21"/>
        </w:rPr>
        <w:t>（2）为采购人提供院内本地化数据分析管理软件，从样本管理到数据分析以及数据解读，提供系统说明书。</w:t>
      </w:r>
    </w:p>
    <w:p w14:paraId="76E1B5DC">
      <w:pPr>
        <w:pStyle w:val="5"/>
        <w:ind w:firstLine="480"/>
        <w:jc w:val="both"/>
        <w:rPr>
          <w:rFonts w:hint="default"/>
        </w:rPr>
      </w:pPr>
      <w:r>
        <w:rPr>
          <w:sz w:val="21"/>
        </w:rPr>
        <w:t>（3）为采购人提供检测样本完整质控信息及基于分子标签技术的样本溯源技术。确保一次实验同时完成项目结果产出及样本溯源，能提示样本混样污染情况，保障样本在实验和分析周期中的有效管理。</w:t>
      </w:r>
    </w:p>
    <w:p w14:paraId="502BBF38">
      <w:pPr>
        <w:pStyle w:val="5"/>
        <w:ind w:firstLine="480"/>
        <w:jc w:val="both"/>
        <w:rPr>
          <w:rFonts w:hint="default"/>
        </w:rPr>
      </w:pPr>
      <w:r>
        <w:rPr>
          <w:sz w:val="21"/>
        </w:rPr>
        <w:t>（4）提供院内管理系统可对下机数据进行质量检查，确保数据达标，需提供实验室分析及管理系统功能说明及相关功能界面截图等证明材料。</w:t>
      </w:r>
    </w:p>
    <w:p w14:paraId="1F2C5B2F">
      <w:pPr>
        <w:pStyle w:val="5"/>
        <w:ind w:firstLine="480"/>
        <w:jc w:val="both"/>
        <w:rPr>
          <w:rFonts w:hint="default"/>
        </w:rPr>
      </w:pPr>
      <w:r>
        <w:rPr>
          <w:b/>
          <w:sz w:val="21"/>
        </w:rPr>
        <w:t>★</w:t>
      </w:r>
      <w:r>
        <w:rPr>
          <w:sz w:val="21"/>
        </w:rPr>
        <w:t>8.数据存储</w:t>
      </w:r>
    </w:p>
    <w:p w14:paraId="69182285">
      <w:pPr>
        <w:pStyle w:val="5"/>
        <w:ind w:firstLine="480"/>
        <w:jc w:val="both"/>
        <w:rPr>
          <w:rFonts w:hint="default"/>
        </w:rPr>
      </w:pPr>
      <w:r>
        <w:rPr>
          <w:sz w:val="21"/>
        </w:rPr>
        <w:t>硬盘和网盘存储，数据交付后，中标人须提供不少</w:t>
      </w:r>
      <w:r>
        <w:rPr>
          <w:rFonts w:hint="eastAsia"/>
          <w:sz w:val="21"/>
          <w:lang w:val="en-US" w:eastAsia="zh-CN"/>
        </w:rPr>
        <w:t>24</w:t>
      </w:r>
      <w:r>
        <w:rPr>
          <w:sz w:val="21"/>
        </w:rPr>
        <w:t>个月（服务期内）的数据存储服务。中标人须对样本数据进行对应标记及专用保密方式存储，以便采购人有需要时可随时调档；</w:t>
      </w:r>
      <w:r>
        <w:rPr>
          <w:rFonts w:hint="eastAsia"/>
          <w:sz w:val="21"/>
          <w:lang w:val="en-US" w:eastAsia="zh-CN"/>
        </w:rPr>
        <w:t>24</w:t>
      </w:r>
      <w:r>
        <w:rPr>
          <w:sz w:val="21"/>
        </w:rPr>
        <w:t>个月（服务期满）后根据采购人的书面通知进行无保留的移交（中标人指派专人通过移动硬盘的方式将数据交付到采购人指定地点）且对已移交的样本数据情况进行无痕清除处理。由此产生的一切费用均由中标人承担。（注：需提供书面承诺函，格式自定）</w:t>
      </w:r>
    </w:p>
    <w:p w14:paraId="3EB6A23D">
      <w:pPr>
        <w:pStyle w:val="5"/>
        <w:ind w:firstLine="480"/>
        <w:jc w:val="both"/>
        <w:rPr>
          <w:rFonts w:hint="default"/>
        </w:rPr>
      </w:pPr>
      <w:r>
        <w:rPr>
          <w:b/>
          <w:sz w:val="21"/>
        </w:rPr>
        <w:t>★</w:t>
      </w:r>
      <w:r>
        <w:rPr>
          <w:bCs/>
          <w:sz w:val="21"/>
        </w:rPr>
        <w:t>9.剩余样本保存：</w:t>
      </w:r>
      <w:r>
        <w:rPr>
          <w:sz w:val="21"/>
        </w:rPr>
        <w:t>实验完成后，中标人须提供不少于12个月的检测后剩余核酸样本保存服务</w:t>
      </w:r>
      <w:r>
        <w:rPr>
          <w:rFonts w:hint="eastAsia"/>
          <w:sz w:val="21"/>
          <w:lang w:eastAsia="zh-CN"/>
        </w:rPr>
        <w:t>和</w:t>
      </w:r>
      <w:r>
        <w:rPr>
          <w:sz w:val="21"/>
        </w:rPr>
        <w:t>不少于</w:t>
      </w:r>
      <w:r>
        <w:rPr>
          <w:rFonts w:hint="eastAsia"/>
          <w:sz w:val="21"/>
          <w:lang w:val="en-US" w:eastAsia="zh-CN"/>
        </w:rPr>
        <w:t>6</w:t>
      </w:r>
      <w:r>
        <w:rPr>
          <w:sz w:val="21"/>
        </w:rPr>
        <w:t>个月</w:t>
      </w:r>
      <w:r>
        <w:rPr>
          <w:rFonts w:hint="eastAsia"/>
          <w:sz w:val="21"/>
          <w:lang w:eastAsia="zh-CN"/>
        </w:rPr>
        <w:t>的</w:t>
      </w:r>
      <w:r>
        <w:rPr>
          <w:sz w:val="21"/>
        </w:rPr>
        <w:t>剩余原始样本保存服务。中标人在保存样本时，须对样本进行一一对应标记及专用样本存储处进行低温（-20℃-80℃）保存，标记需清晰，以便采购人有需要可随时进行调档；12个月</w:t>
      </w:r>
      <w:r>
        <w:rPr>
          <w:rFonts w:hint="eastAsia"/>
          <w:sz w:val="21"/>
          <w:lang w:eastAsia="zh-CN"/>
        </w:rPr>
        <w:t>或</w:t>
      </w:r>
      <w:r>
        <w:rPr>
          <w:rFonts w:hint="eastAsia"/>
          <w:sz w:val="21"/>
          <w:lang w:val="en-US" w:eastAsia="zh-CN"/>
        </w:rPr>
        <w:t>6个月后</w:t>
      </w:r>
      <w:r>
        <w:rPr>
          <w:sz w:val="21"/>
        </w:rPr>
        <w:t>经采购人的书面通知后进行无害化处理。对于超过保存期的样本，中标人需经采购人书面同意后方可处理；如采购人需要，投标人需按采购人要求在规定时间内返还保存的样本（中标方指派专人通过冷链运输（-20℃）的方式将数据交付到采购人指定地点）。由此过程中产生的一切费用均由中标人承担。（注：需提供书面承诺函，格式自定）</w:t>
      </w:r>
    </w:p>
    <w:p w14:paraId="5FECB15F">
      <w:pPr>
        <w:pStyle w:val="5"/>
        <w:ind w:firstLine="480"/>
        <w:jc w:val="both"/>
        <w:rPr>
          <w:rFonts w:hint="default"/>
        </w:rPr>
      </w:pPr>
    </w:p>
    <w:p w14:paraId="14B686E9">
      <w:pPr>
        <w:pStyle w:val="5"/>
        <w:ind w:firstLine="480"/>
        <w:jc w:val="both"/>
        <w:rPr>
          <w:rFonts w:hint="default"/>
        </w:rPr>
      </w:pPr>
      <w:r>
        <w:t xml:space="preserve"> </w:t>
      </w:r>
    </w:p>
    <w:p w14:paraId="1EEF2F83">
      <w:pPr>
        <w:pStyle w:val="5"/>
        <w:ind w:firstLine="480"/>
        <w:jc w:val="both"/>
        <w:rPr>
          <w:rFonts w:hint="default"/>
          <w:bCs/>
        </w:rPr>
      </w:pPr>
      <w:r>
        <w:rPr>
          <w:bCs/>
          <w:sz w:val="21"/>
          <w:lang w:eastAsia="zh-CN"/>
        </w:rPr>
        <w:t>2.</w:t>
      </w:r>
      <w:r>
        <w:rPr>
          <w:bCs/>
          <w:sz w:val="21"/>
        </w:rPr>
        <w:t>商务要求</w:t>
      </w:r>
    </w:p>
    <w:p w14:paraId="45450AA8">
      <w:pPr>
        <w:pStyle w:val="5"/>
        <w:ind w:firstLine="480"/>
        <w:jc w:val="both"/>
        <w:rPr>
          <w:rFonts w:hint="default"/>
        </w:rPr>
      </w:pPr>
      <w:r>
        <w:rPr>
          <w:sz w:val="21"/>
          <w:lang w:eastAsia="zh-CN"/>
        </w:rPr>
        <w:t>2.1</w:t>
      </w:r>
      <w:r>
        <w:rPr>
          <w:sz w:val="21"/>
        </w:rPr>
        <w:t>投标人所投入的服务团队人员基本要求</w:t>
      </w:r>
    </w:p>
    <w:p w14:paraId="69ED62BB">
      <w:pPr>
        <w:pStyle w:val="5"/>
        <w:ind w:firstLine="420"/>
        <w:rPr>
          <w:rFonts w:ascii="Calibri" w:hAnsi="Calibri" w:eastAsia="宋体" w:cs="Times New Roman"/>
        </w:rPr>
      </w:pPr>
      <w:r>
        <w:rPr>
          <w:b/>
          <w:sz w:val="21"/>
        </w:rPr>
        <w:t>★</w:t>
      </w:r>
      <w:r>
        <w:rPr>
          <w:sz w:val="21"/>
        </w:rPr>
        <w:t>（</w:t>
      </w:r>
      <w:r>
        <w:rPr>
          <w:sz w:val="21"/>
          <w:lang w:eastAsia="zh-CN"/>
        </w:rPr>
        <w:t>1</w:t>
      </w:r>
      <w:r>
        <w:rPr>
          <w:sz w:val="21"/>
        </w:rPr>
        <w:t>）为本项目配备的服务人员中：①</w:t>
      </w:r>
      <w:r>
        <w:rPr>
          <w:rFonts w:ascii="Calibri" w:hAnsi="Calibri" w:eastAsia="宋体" w:cs="Times New Roman"/>
          <w:sz w:val="21"/>
        </w:rPr>
        <w:t>具有至少5名具有“临床医学检验专业技术”或“卫生检验技术”或“微生物检验技术”的专业技术人员；②其中至少2名具有卫生行政部门指定技术机构培训颁发的临床基因扩增检验技术培训合格证明的人员。（注：提供①～②的拟派服务人员对应证书证明及投标人单位为该人员在投标截止日前三个月内任意一个月购买的社保缴费流水或投标人单位代缴个人所得税的证明文件（须具有政府有关部门印章，如是多个人的打印页须明确标识出上述对应的人员）或返聘证明，复印件并加盖投标人公章。）</w:t>
      </w:r>
    </w:p>
    <w:p w14:paraId="146B8152">
      <w:pPr>
        <w:ind w:firstLine="420"/>
        <w:rPr>
          <w:rFonts w:hint="default"/>
        </w:rPr>
      </w:pPr>
      <w:r>
        <w:rPr>
          <w:sz w:val="21"/>
        </w:rPr>
        <w:t>（</w:t>
      </w:r>
      <w:r>
        <w:rPr>
          <w:rFonts w:hint="eastAsia"/>
          <w:sz w:val="21"/>
          <w:lang w:val="en-US" w:eastAsia="zh-CN"/>
        </w:rPr>
        <w:t>2</w:t>
      </w:r>
      <w:r>
        <w:rPr>
          <w:sz w:val="21"/>
        </w:rPr>
        <w:t>）</w:t>
      </w:r>
      <w:r>
        <w:rPr>
          <w:rFonts w:hint="eastAsia" w:ascii="Calibri" w:hAnsi="Calibri" w:eastAsia="宋体" w:cs="Times New Roman"/>
          <w:sz w:val="21"/>
          <w:lang w:val="en-US" w:eastAsia="zh-Hans"/>
        </w:rPr>
        <w:t>为本项目配备的服务人员中：投标人所提供的上述5名（或以上）专业技术人员中，至少</w:t>
      </w:r>
      <w:r>
        <w:rPr>
          <w:rFonts w:hint="eastAsia" w:ascii="Calibri" w:hAnsi="Calibri" w:eastAsia="宋体" w:cs="Times New Roman"/>
          <w:sz w:val="21"/>
          <w:lang w:val="en-US" w:eastAsia="zh-CN"/>
        </w:rPr>
        <w:t>1</w:t>
      </w:r>
      <w:r>
        <w:rPr>
          <w:rFonts w:hint="eastAsia" w:ascii="Calibri" w:hAnsi="Calibri" w:eastAsia="宋体" w:cs="Times New Roman"/>
          <w:sz w:val="21"/>
          <w:lang w:val="en-US" w:eastAsia="zh-Hans"/>
        </w:rPr>
        <w:t>名专业技术人员需有具备微生物检验技术</w:t>
      </w:r>
      <w:r>
        <w:rPr>
          <w:rFonts w:hint="eastAsia" w:ascii="Calibri" w:hAnsi="Calibri" w:eastAsia="宋体" w:cs="Times New Roman"/>
          <w:sz w:val="21"/>
          <w:lang w:val="en-US" w:eastAsia="zh-CN"/>
        </w:rPr>
        <w:t>或医学检验技术</w:t>
      </w:r>
      <w:r>
        <w:rPr>
          <w:rFonts w:hint="eastAsia" w:ascii="Calibri" w:hAnsi="Calibri" w:eastAsia="宋体" w:cs="Times New Roman"/>
          <w:sz w:val="21"/>
          <w:lang w:val="en-US" w:eastAsia="zh-Hans"/>
        </w:rPr>
        <w:t>相关的中级或以上职称，且具有5年或以上的微生物检验相关工作（或检测或解读或管理）服务工作经验。【注：提供拟派服务人员的对应职称证明或相关的证明材料，提供微生物检验相关服务工作经验证明材料（投标人所提供的相关工作经验证明材料需能体现该人员的姓名及相关工作内容，相关工作经验证明材料例如投标人出具的任职证明或第三方证明材料（如用户评价、第三方委派工作证明等），复印件并加盖投标人公章。】</w:t>
      </w:r>
    </w:p>
    <w:p w14:paraId="24623ED3">
      <w:pPr>
        <w:pStyle w:val="5"/>
        <w:ind w:firstLine="480"/>
        <w:jc w:val="both"/>
        <w:rPr>
          <w:rFonts w:hint="default"/>
        </w:rPr>
      </w:pPr>
      <w:r>
        <w:rPr>
          <w:sz w:val="21"/>
        </w:rPr>
        <w:t>★</w:t>
      </w:r>
      <w:r>
        <w:rPr>
          <w:sz w:val="21"/>
          <w:lang w:eastAsia="zh-CN"/>
        </w:rPr>
        <w:t>2.2</w:t>
      </w:r>
      <w:r>
        <w:rPr>
          <w:sz w:val="21"/>
        </w:rPr>
        <w:t>投标人具有有效的《医疗机构执业许可证》（诊疗科目须涵盖“临床细胞分子遗传学专业”），并具备临床基因扩增实验室资质；投标人提供检测服务的实验室须具备二级或以上病原微生物实验室备案资质。提供复印件</w:t>
      </w:r>
      <w:r>
        <w:rPr>
          <w:rFonts w:hint="eastAsia"/>
          <w:sz w:val="21"/>
          <w:lang w:eastAsia="zh-CN"/>
        </w:rPr>
        <w:t>并</w:t>
      </w:r>
      <w:r>
        <w:rPr>
          <w:sz w:val="21"/>
        </w:rPr>
        <w:t>加盖公章。</w:t>
      </w:r>
    </w:p>
    <w:p w14:paraId="756B10E9">
      <w:pPr>
        <w:pStyle w:val="5"/>
        <w:ind w:firstLine="480"/>
        <w:jc w:val="both"/>
        <w:rPr>
          <w:rFonts w:hint="default"/>
        </w:rPr>
      </w:pPr>
      <w:r>
        <w:rPr>
          <w:sz w:val="21"/>
        </w:rPr>
        <w:t>★</w:t>
      </w:r>
      <w:r>
        <w:rPr>
          <w:sz w:val="21"/>
          <w:lang w:eastAsia="zh-CN"/>
        </w:rPr>
        <w:t>2.3</w:t>
      </w:r>
      <w:r>
        <w:rPr>
          <w:sz w:val="21"/>
        </w:rPr>
        <w:t>独立投标：投标单位实验室需满足该标的对实验设备及分析流程的要求，独立完成该标的所有检测项目。不允许联合该投标单位外的任何机构提供投标所需硬件设备及资质等，不允许投标单位外包完成标的中任一环节。</w:t>
      </w:r>
    </w:p>
    <w:p w14:paraId="4A08D333">
      <w:pPr>
        <w:pStyle w:val="5"/>
        <w:ind w:firstLine="480"/>
        <w:jc w:val="both"/>
        <w:rPr>
          <w:rFonts w:hint="default"/>
        </w:rPr>
      </w:pPr>
      <w:r>
        <w:rPr>
          <w:sz w:val="21"/>
        </w:rPr>
        <w:t>★</w:t>
      </w:r>
      <w:r>
        <w:rPr>
          <w:sz w:val="21"/>
          <w:lang w:eastAsia="zh-CN"/>
        </w:rPr>
        <w:t>2.4</w:t>
      </w:r>
      <w:r>
        <w:rPr>
          <w:sz w:val="21"/>
        </w:rPr>
        <w:t>保密及知识产权（提供承诺函）</w:t>
      </w:r>
    </w:p>
    <w:p w14:paraId="70AF6DDD">
      <w:pPr>
        <w:pStyle w:val="5"/>
        <w:ind w:firstLine="480"/>
        <w:jc w:val="both"/>
        <w:rPr>
          <w:rFonts w:hint="default"/>
        </w:rPr>
      </w:pPr>
      <w:r>
        <w:rPr>
          <w:sz w:val="21"/>
        </w:rPr>
        <w:t>（</w:t>
      </w:r>
      <w:r>
        <w:rPr>
          <w:sz w:val="21"/>
          <w:lang w:eastAsia="zh-CN"/>
        </w:rPr>
        <w:t>1</w:t>
      </w:r>
      <w:r>
        <w:rPr>
          <w:sz w:val="21"/>
        </w:rPr>
        <w:t>）保密信息：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14:paraId="58741A9C">
      <w:pPr>
        <w:pStyle w:val="5"/>
        <w:ind w:firstLine="480"/>
        <w:jc w:val="both"/>
        <w:rPr>
          <w:rFonts w:hint="default"/>
        </w:rPr>
      </w:pPr>
      <w:r>
        <w:rPr>
          <w:sz w:val="21"/>
        </w:rPr>
        <w:t>（</w:t>
      </w:r>
      <w:r>
        <w:rPr>
          <w:sz w:val="21"/>
          <w:lang w:eastAsia="zh-CN"/>
        </w:rPr>
        <w:t>2</w:t>
      </w:r>
      <w:r>
        <w:rPr>
          <w:sz w:val="21"/>
        </w:rPr>
        <w:t>）知识产权：检测样本、检测剩余样本、检测数据的所有权、使用权为采购人所有，未经采购人书面许可不得挪作它用。采购人拥有本项目所有数据及相关衍生的所有知识产权。</w:t>
      </w:r>
    </w:p>
    <w:p w14:paraId="7C2376BB">
      <w:pPr>
        <w:pStyle w:val="5"/>
        <w:ind w:firstLine="480"/>
        <w:jc w:val="both"/>
        <w:rPr>
          <w:rFonts w:hint="default"/>
        </w:rPr>
      </w:pPr>
      <w:r>
        <w:rPr>
          <w:sz w:val="21"/>
        </w:rPr>
        <w:t>（3）投标人生物信息安全性要求：中标人在项目实施过程中未经安全审查，不得将国家人类遗传资源信息向境外组织、个人及其设立或实际控制的机构提供或者开放使用。</w:t>
      </w:r>
    </w:p>
    <w:p w14:paraId="2A77FF83">
      <w:pPr>
        <w:pStyle w:val="5"/>
        <w:ind w:firstLine="480"/>
        <w:jc w:val="both"/>
        <w:rPr>
          <w:rFonts w:hint="default"/>
        </w:rPr>
      </w:pPr>
      <w:r>
        <w:rPr>
          <w:bCs/>
          <w:sz w:val="21"/>
          <w:lang w:eastAsia="zh-CN"/>
        </w:rPr>
        <w:t>2.5</w:t>
      </w:r>
      <w:r>
        <w:rPr>
          <w:bCs/>
          <w:sz w:val="21"/>
        </w:rPr>
        <w:t>服务地点：</w:t>
      </w:r>
      <w:r>
        <w:rPr>
          <w:sz w:val="21"/>
        </w:rPr>
        <w:t>采购人指定地点。</w:t>
      </w:r>
    </w:p>
    <w:p w14:paraId="62E1F72B">
      <w:pPr>
        <w:pStyle w:val="5"/>
        <w:ind w:firstLine="480"/>
        <w:jc w:val="both"/>
        <w:rPr>
          <w:rFonts w:hint="default"/>
        </w:rPr>
      </w:pPr>
      <w:r>
        <w:rPr>
          <w:sz w:val="21"/>
          <w:lang w:eastAsia="zh-CN"/>
        </w:rPr>
        <w:t>2.6</w:t>
      </w:r>
      <w:r>
        <w:rPr>
          <w:sz w:val="21"/>
        </w:rPr>
        <w:t>质量要求：</w:t>
      </w:r>
    </w:p>
    <w:p w14:paraId="7BC72232">
      <w:pPr>
        <w:pStyle w:val="5"/>
        <w:ind w:firstLine="480"/>
        <w:jc w:val="both"/>
        <w:rPr>
          <w:rFonts w:hint="default"/>
        </w:rPr>
      </w:pPr>
      <w:r>
        <w:rPr>
          <w:sz w:val="21"/>
        </w:rPr>
        <w:t>（</w:t>
      </w:r>
      <w:r>
        <w:rPr>
          <w:sz w:val="21"/>
          <w:lang w:eastAsia="zh-CN"/>
        </w:rPr>
        <w:t>1</w:t>
      </w:r>
      <w:r>
        <w:rPr>
          <w:sz w:val="21"/>
        </w:rPr>
        <w:t>）投标人具有完善的相关管理体系，如通过国家认证认可监督管理部门批准设立的认证机构颁发并在有效期内的认证：质量管理体系认证、环境管理体系认证、职业健康安全管理体系认证。</w:t>
      </w:r>
    </w:p>
    <w:p w14:paraId="062E6274">
      <w:pPr>
        <w:pStyle w:val="5"/>
        <w:ind w:firstLine="480"/>
        <w:jc w:val="both"/>
        <w:rPr>
          <w:rFonts w:hint="default"/>
        </w:rPr>
      </w:pPr>
      <w:r>
        <w:rPr>
          <w:sz w:val="21"/>
        </w:rPr>
        <w:t>（</w:t>
      </w:r>
      <w:r>
        <w:rPr>
          <w:sz w:val="21"/>
          <w:lang w:eastAsia="zh-CN"/>
        </w:rPr>
        <w:t>2</w:t>
      </w:r>
      <w:r>
        <w:rPr>
          <w:sz w:val="21"/>
        </w:rPr>
        <w:t>）每次检测都有严格的室内质控，中标人按月提供室内质量控制报表其内容包括质控检测数据、控制标准、质控分析、失控报告等；每年参加卫健委的质量控制和室间质评工作，以控制诊断结果的质量，定期参加质量评审，因投标实验室质量因素导致的医疗纠纷、事故等不良后果的，由此产生的赔偿责任由中标人承担。</w:t>
      </w:r>
    </w:p>
    <w:p w14:paraId="4D55ADE8">
      <w:pPr>
        <w:pStyle w:val="5"/>
        <w:ind w:firstLine="480"/>
        <w:jc w:val="both"/>
        <w:rPr>
          <w:rFonts w:hint="default"/>
        </w:rPr>
      </w:pPr>
      <w:r>
        <w:rPr>
          <w:sz w:val="21"/>
          <w:lang w:eastAsia="zh-CN"/>
        </w:rPr>
        <w:t>2.7</w:t>
      </w:r>
      <w:r>
        <w:rPr>
          <w:sz w:val="21"/>
        </w:rPr>
        <w:t>售后服务：</w:t>
      </w:r>
    </w:p>
    <w:p w14:paraId="0289A1F2">
      <w:pPr>
        <w:pStyle w:val="5"/>
        <w:ind w:firstLine="480"/>
        <w:jc w:val="both"/>
        <w:rPr>
          <w:rFonts w:hint="default"/>
        </w:rPr>
      </w:pPr>
      <w:r>
        <w:rPr>
          <w:sz w:val="21"/>
        </w:rPr>
        <w:t>（</w:t>
      </w:r>
      <w:r>
        <w:rPr>
          <w:sz w:val="21"/>
          <w:lang w:eastAsia="zh-CN"/>
        </w:rPr>
        <w:t>1</w:t>
      </w:r>
      <w:r>
        <w:rPr>
          <w:sz w:val="21"/>
        </w:rPr>
        <w:t>）投标人为采购人提供本地化售后服务。提供固定的具有医学背景的专业人员负责日常送检标本的临床咨询、标本采集培训、标本接收、报告发放、结果咨询等服务。</w:t>
      </w:r>
    </w:p>
    <w:p w14:paraId="20774A1C">
      <w:pPr>
        <w:pStyle w:val="5"/>
        <w:ind w:firstLine="480"/>
        <w:jc w:val="both"/>
        <w:rPr>
          <w:rFonts w:hint="default"/>
        </w:rPr>
      </w:pPr>
      <w:r>
        <w:rPr>
          <w:sz w:val="21"/>
        </w:rPr>
        <w:t>（</w:t>
      </w:r>
      <w:r>
        <w:rPr>
          <w:sz w:val="21"/>
          <w:lang w:eastAsia="zh-CN"/>
        </w:rPr>
        <w:t>2</w:t>
      </w:r>
      <w:r>
        <w:rPr>
          <w:sz w:val="21"/>
        </w:rPr>
        <w:t>）投标人需提供专门售后服务团队，设立专门联系跟进的人员及400或800联系方式，采购人联系中标人后，涉及售后的相关问题技术支持或工程师需要在12小时內通过电话/邮件/微信进行响应回复，在72小时内对采购人所提出的问题进行解决。如样本的测序质量出现不合格的情况，需6小时内响应并于1个工作日内予以解决（重新完成检测并交付报告）。</w:t>
      </w:r>
    </w:p>
    <w:p w14:paraId="59FC2D83">
      <w:pPr>
        <w:pStyle w:val="5"/>
        <w:ind w:firstLine="480"/>
        <w:jc w:val="both"/>
        <w:rPr>
          <w:rFonts w:hint="default"/>
        </w:rPr>
      </w:pPr>
      <w:r>
        <w:rPr>
          <w:sz w:val="21"/>
        </w:rPr>
        <w:t>（3）投标人提供网上查询服务和提供电话查询服务，以供随时查询进度和结果。</w:t>
      </w:r>
    </w:p>
    <w:p w14:paraId="46EDCAD1">
      <w:pPr>
        <w:pStyle w:val="5"/>
        <w:ind w:firstLine="480"/>
        <w:jc w:val="both"/>
        <w:rPr>
          <w:rFonts w:hint="default"/>
        </w:rPr>
      </w:pPr>
      <w:r>
        <w:rPr>
          <w:sz w:val="21"/>
        </w:rPr>
        <w:t>（</w:t>
      </w:r>
      <w:r>
        <w:rPr>
          <w:sz w:val="21"/>
          <w:lang w:eastAsia="zh-CN"/>
        </w:rPr>
        <w:t>4</w:t>
      </w:r>
      <w:r>
        <w:rPr>
          <w:sz w:val="21"/>
        </w:rPr>
        <w:t>）对于检测结果错误或采购人对检测结果提出异议的样本，投标人需按采购人要求进行重新检测，并在采购人提出重新检测要求的2个工作日内交付检测结果。</w:t>
      </w:r>
    </w:p>
    <w:p w14:paraId="2C49C19A">
      <w:pPr>
        <w:pStyle w:val="5"/>
        <w:ind w:firstLine="480"/>
        <w:jc w:val="both"/>
        <w:rPr>
          <w:rFonts w:hint="default"/>
        </w:rPr>
      </w:pPr>
      <w:r>
        <w:rPr>
          <w:sz w:val="21"/>
        </w:rPr>
        <w:t>（</w:t>
      </w:r>
      <w:r>
        <w:rPr>
          <w:sz w:val="21"/>
          <w:lang w:eastAsia="zh-CN"/>
        </w:rPr>
        <w:t>5</w:t>
      </w:r>
      <w:r>
        <w:rPr>
          <w:sz w:val="21"/>
        </w:rPr>
        <w:t>）投标人如需召回检测报告的，应在24小时内通过一切形式包括电话、邮寄、传真、电子邮件、当面告知等方式通知采购人召回检测报告并通过上述形式提供新的检测报告。因召回检测报告而产生的一切法律责任由投标人承担。</w:t>
      </w:r>
    </w:p>
    <w:p w14:paraId="5C440F61">
      <w:pPr>
        <w:pStyle w:val="5"/>
        <w:ind w:firstLine="480"/>
        <w:jc w:val="both"/>
        <w:rPr>
          <w:rFonts w:hint="default"/>
        </w:rPr>
      </w:pPr>
      <w:r>
        <w:rPr>
          <w:sz w:val="21"/>
        </w:rPr>
        <w:t>（</w:t>
      </w:r>
      <w:r>
        <w:rPr>
          <w:sz w:val="21"/>
          <w:lang w:eastAsia="zh-CN"/>
        </w:rPr>
        <w:t>6</w:t>
      </w:r>
      <w:r>
        <w:rPr>
          <w:sz w:val="21"/>
        </w:rPr>
        <w:t>）投标人针对本项目提供售后服务方案，内容包括专门售后服务人员的岗位及工作安排、跟进人员、问题改进及措施、解决纠纷及措施、全过程跟进服务的安排。</w:t>
      </w:r>
    </w:p>
    <w:p w14:paraId="0EB5F339">
      <w:pPr>
        <w:pStyle w:val="5"/>
        <w:ind w:firstLine="480"/>
        <w:jc w:val="both"/>
        <w:rPr>
          <w:rFonts w:hint="default"/>
          <w:lang w:eastAsia="zh-CN"/>
        </w:rPr>
      </w:pPr>
      <w:r>
        <w:rPr>
          <w:sz w:val="21"/>
        </w:rPr>
        <w:t>（</w:t>
      </w:r>
      <w:r>
        <w:rPr>
          <w:sz w:val="21"/>
          <w:lang w:eastAsia="zh-CN"/>
        </w:rPr>
        <w:t>7</w:t>
      </w:r>
      <w:r>
        <w:rPr>
          <w:sz w:val="21"/>
        </w:rPr>
        <w:t>）</w:t>
      </w:r>
      <w:r>
        <w:rPr>
          <w:sz w:val="21"/>
          <w:lang w:eastAsia="zh-CN"/>
        </w:rPr>
        <w:t>投标人负责无偿</w:t>
      </w:r>
      <w:r>
        <w:rPr>
          <w:sz w:val="21"/>
        </w:rPr>
        <w:t>培训</w:t>
      </w:r>
      <w:r>
        <w:rPr>
          <w:sz w:val="21"/>
          <w:lang w:eastAsia="zh-CN"/>
        </w:rPr>
        <w:t>采购科室相关工作人员直至熟练掌握检测技术和报告解读。</w:t>
      </w:r>
      <w:r>
        <w:rPr>
          <w:sz w:val="21"/>
        </w:rPr>
        <w:t>投标人定期开展与项目相关</w:t>
      </w:r>
      <w:r>
        <w:rPr>
          <w:sz w:val="21"/>
          <w:lang w:eastAsia="zh-CN"/>
        </w:rPr>
        <w:t>的进修</w:t>
      </w:r>
      <w:r>
        <w:rPr>
          <w:sz w:val="21"/>
        </w:rPr>
        <w:t>培训</w:t>
      </w:r>
      <w:r>
        <w:rPr>
          <w:sz w:val="21"/>
          <w:lang w:eastAsia="zh-CN"/>
        </w:rPr>
        <w:t>、</w:t>
      </w:r>
      <w:r>
        <w:rPr>
          <w:sz w:val="21"/>
        </w:rPr>
        <w:t>学术交流</w:t>
      </w:r>
      <w:r>
        <w:rPr>
          <w:sz w:val="21"/>
          <w:lang w:eastAsia="zh-CN"/>
        </w:rPr>
        <w:t>、</w:t>
      </w:r>
      <w:r>
        <w:rPr>
          <w:sz w:val="21"/>
        </w:rPr>
        <w:t>继续教育</w:t>
      </w:r>
      <w:r>
        <w:rPr>
          <w:sz w:val="21"/>
          <w:lang w:eastAsia="zh-CN"/>
        </w:rPr>
        <w:t>活动，</w:t>
      </w:r>
      <w:r>
        <w:rPr>
          <w:sz w:val="21"/>
        </w:rPr>
        <w:t>促进临床项目开展。</w:t>
      </w:r>
    </w:p>
    <w:p w14:paraId="01710F34">
      <w:pPr>
        <w:pStyle w:val="5"/>
        <w:ind w:firstLine="480"/>
        <w:jc w:val="both"/>
        <w:rPr>
          <w:rFonts w:hint="default"/>
          <w:sz w:val="21"/>
        </w:rPr>
      </w:pPr>
      <w:r>
        <w:rPr>
          <w:sz w:val="21"/>
        </w:rPr>
        <w:t>（</w:t>
      </w:r>
      <w:r>
        <w:rPr>
          <w:sz w:val="21"/>
          <w:lang w:eastAsia="zh-CN"/>
        </w:rPr>
        <w:t>8</w:t>
      </w:r>
      <w:r>
        <w:rPr>
          <w:sz w:val="21"/>
        </w:rPr>
        <w:t>）投标人向采购人提供每年不少于</w:t>
      </w:r>
      <w:r>
        <w:rPr>
          <w:sz w:val="21"/>
          <w:lang w:eastAsia="zh-CN"/>
        </w:rPr>
        <w:t>4</w:t>
      </w:r>
      <w:r>
        <w:rPr>
          <w:sz w:val="21"/>
        </w:rPr>
        <w:t>次的相关业务培训，根据采购人的要求制定培训方式及培训内容，经采购人确认后开展培训课程。</w:t>
      </w:r>
    </w:p>
    <w:p w14:paraId="2BDE7BBB">
      <w:pPr>
        <w:pStyle w:val="5"/>
        <w:ind w:firstLine="480"/>
        <w:jc w:val="both"/>
        <w:rPr>
          <w:rFonts w:hint="default"/>
          <w:sz w:val="21"/>
        </w:rPr>
      </w:pPr>
      <w:r>
        <w:rPr>
          <w:sz w:val="21"/>
        </w:rPr>
        <w:t>（</w:t>
      </w:r>
      <w:r>
        <w:rPr>
          <w:sz w:val="21"/>
          <w:lang w:eastAsia="zh-CN"/>
        </w:rPr>
        <w:t>9</w:t>
      </w:r>
      <w:r>
        <w:rPr>
          <w:sz w:val="21"/>
        </w:rPr>
        <w:t>）投标人协助采购人进行实验室标准化建设，提供科室布局优化改良方案；协助院方申报实验室评审验收工作；提升科室服务水平；协助医院开展科研项目、提高科室学科水平。</w:t>
      </w:r>
    </w:p>
    <w:p w14:paraId="33E73744">
      <w:pPr>
        <w:pStyle w:val="5"/>
        <w:ind w:firstLine="480"/>
        <w:jc w:val="both"/>
        <w:rPr>
          <w:rFonts w:hint="default"/>
          <w:sz w:val="21"/>
        </w:rPr>
      </w:pPr>
      <w:r>
        <w:rPr>
          <w:sz w:val="21"/>
        </w:rPr>
        <w:t>（</w:t>
      </w:r>
      <w:r>
        <w:rPr>
          <w:sz w:val="21"/>
          <w:lang w:eastAsia="zh-CN"/>
        </w:rPr>
        <w:t>10</w:t>
      </w:r>
      <w:r>
        <w:rPr>
          <w:sz w:val="21"/>
        </w:rPr>
        <w:t>）投标人协助采购人定期整理标本检验数据，深入挖掘，助力采购人科研成果产出。投标人如使用采购人提供的受检者标本发表科研成果，需经采购人同意，且采购人有署名权，署名排序按照文章发表时各方的贡献另行协商确定。</w:t>
      </w:r>
    </w:p>
    <w:p w14:paraId="38DC120E">
      <w:pPr>
        <w:pStyle w:val="5"/>
        <w:ind w:firstLine="480"/>
        <w:jc w:val="both"/>
        <w:rPr>
          <w:rFonts w:hint="default"/>
        </w:rPr>
      </w:pPr>
      <w:r>
        <w:rPr>
          <w:sz w:val="21"/>
          <w:lang w:eastAsia="zh-CN"/>
        </w:rPr>
        <w:t>2.8</w:t>
      </w:r>
      <w:r>
        <w:rPr>
          <w:sz w:val="21"/>
        </w:rPr>
        <w:t>应急要求</w:t>
      </w:r>
    </w:p>
    <w:p w14:paraId="705E695C">
      <w:pPr>
        <w:pStyle w:val="5"/>
        <w:ind w:firstLine="480"/>
        <w:jc w:val="both"/>
        <w:rPr>
          <w:rFonts w:hint="default"/>
        </w:rPr>
      </w:pPr>
      <w:r>
        <w:rPr>
          <w:sz w:val="21"/>
        </w:rPr>
        <w:t>（</w:t>
      </w:r>
      <w:r>
        <w:rPr>
          <w:sz w:val="21"/>
          <w:lang w:eastAsia="zh-CN"/>
        </w:rPr>
        <w:t>1</w:t>
      </w:r>
      <w:r>
        <w:rPr>
          <w:sz w:val="21"/>
        </w:rPr>
        <w:t>）投标人对样本丢失、数据泄露、漏检、误检、检测失误、样本污染、检测数据异常等情况进行提供针对性的应急防范措施及应对措施。</w:t>
      </w:r>
    </w:p>
    <w:p w14:paraId="71B56C4D">
      <w:pPr>
        <w:pStyle w:val="5"/>
        <w:ind w:firstLine="480"/>
        <w:jc w:val="both"/>
        <w:rPr>
          <w:rFonts w:hint="default"/>
        </w:rPr>
      </w:pPr>
      <w:r>
        <w:rPr>
          <w:sz w:val="21"/>
        </w:rPr>
        <w:t>（</w:t>
      </w:r>
      <w:r>
        <w:rPr>
          <w:sz w:val="21"/>
          <w:lang w:eastAsia="zh-CN"/>
        </w:rPr>
        <w:t>2</w:t>
      </w:r>
      <w:r>
        <w:rPr>
          <w:sz w:val="21"/>
        </w:rPr>
        <w:t>）对项目实施期间可能出现突发的、不可预见的情况，投标人应在接到采购人通知2小时内响应，派专职人员与采购人对接，并在4小时内向采购人如实汇报处理措施、进度、处理结果。</w:t>
      </w:r>
    </w:p>
    <w:p w14:paraId="60CE38DF">
      <w:pPr>
        <w:pStyle w:val="5"/>
        <w:ind w:firstLine="480"/>
        <w:jc w:val="both"/>
        <w:rPr>
          <w:rFonts w:hint="default"/>
        </w:rPr>
      </w:pPr>
      <w:r>
        <w:rPr>
          <w:sz w:val="21"/>
        </w:rPr>
        <w:t>（</w:t>
      </w:r>
      <w:r>
        <w:rPr>
          <w:sz w:val="21"/>
          <w:lang w:eastAsia="zh-CN"/>
        </w:rPr>
        <w:t>3</w:t>
      </w:r>
      <w:r>
        <w:rPr>
          <w:sz w:val="21"/>
        </w:rPr>
        <w:t>）投标人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14:paraId="2F0E7546">
      <w:pPr>
        <w:pStyle w:val="5"/>
        <w:ind w:firstLine="480"/>
        <w:jc w:val="both"/>
        <w:rPr>
          <w:rFonts w:hint="default"/>
        </w:rPr>
      </w:pPr>
      <w:r>
        <w:rPr>
          <w:sz w:val="21"/>
        </w:rPr>
        <w:t>（</w:t>
      </w:r>
      <w:r>
        <w:rPr>
          <w:sz w:val="21"/>
          <w:lang w:eastAsia="zh-CN"/>
        </w:rPr>
        <w:t>4</w:t>
      </w:r>
      <w:r>
        <w:rPr>
          <w:sz w:val="21"/>
        </w:rPr>
        <w:t>）中标人能提供送检服务应急措施、具备处理投入本项目核心设备故障、防止检验室或样本污染的能力。有完整的对突发事件、安全事故处理的方案。建立相应质量控制制度，制定相应的质量管理手册(或制度等相关内容)。</w:t>
      </w:r>
    </w:p>
    <w:p w14:paraId="2577BD91">
      <w:pPr>
        <w:pStyle w:val="5"/>
        <w:ind w:firstLine="480"/>
        <w:jc w:val="both"/>
        <w:rPr>
          <w:rFonts w:hint="default"/>
        </w:rPr>
      </w:pPr>
      <w:r>
        <w:rPr>
          <w:sz w:val="21"/>
          <w:lang w:eastAsia="zh-CN"/>
        </w:rPr>
        <w:t>2.9</w:t>
      </w:r>
      <w:r>
        <w:rPr>
          <w:sz w:val="21"/>
        </w:rPr>
        <w:t>验收要求：</w:t>
      </w:r>
    </w:p>
    <w:p w14:paraId="0DF03E88">
      <w:pPr>
        <w:pStyle w:val="5"/>
        <w:ind w:firstLine="480"/>
        <w:jc w:val="both"/>
        <w:rPr>
          <w:rFonts w:hint="default"/>
        </w:rPr>
      </w:pPr>
      <w:r>
        <w:rPr>
          <w:sz w:val="21"/>
        </w:rPr>
        <w:t>（</w:t>
      </w:r>
      <w:r>
        <w:rPr>
          <w:sz w:val="21"/>
          <w:lang w:eastAsia="zh-CN"/>
        </w:rPr>
        <w:t>1</w:t>
      </w:r>
      <w:r>
        <w:rPr>
          <w:sz w:val="21"/>
        </w:rPr>
        <w:t>）验收标准：</w:t>
      </w:r>
    </w:p>
    <w:p w14:paraId="5FB62815">
      <w:pPr>
        <w:pStyle w:val="5"/>
        <w:numPr>
          <w:ilvl w:val="0"/>
          <w:numId w:val="1"/>
        </w:numPr>
        <w:ind w:firstLine="420" w:firstLineChars="200"/>
        <w:jc w:val="both"/>
        <w:rPr>
          <w:rFonts w:hint="default"/>
        </w:rPr>
      </w:pPr>
      <w:r>
        <w:rPr>
          <w:sz w:val="21"/>
        </w:rPr>
        <w:t>符合中华人民共和国国家和履约地相关检测质量标准、行业技术规范标准；</w:t>
      </w:r>
    </w:p>
    <w:p w14:paraId="462860A5">
      <w:pPr>
        <w:pStyle w:val="5"/>
        <w:numPr>
          <w:ilvl w:val="0"/>
          <w:numId w:val="1"/>
        </w:numPr>
        <w:ind w:firstLine="420" w:firstLineChars="200"/>
        <w:jc w:val="both"/>
        <w:rPr>
          <w:rFonts w:hint="default"/>
        </w:rPr>
      </w:pPr>
      <w:r>
        <w:rPr>
          <w:sz w:val="21"/>
        </w:rPr>
        <w:t>符合招标文件和中标人响应承诺中采购人认可的各项要求</w:t>
      </w:r>
    </w:p>
    <w:p w14:paraId="4C25D367">
      <w:pPr>
        <w:pStyle w:val="5"/>
        <w:numPr>
          <w:ilvl w:val="0"/>
          <w:numId w:val="1"/>
        </w:numPr>
        <w:ind w:firstLine="420" w:firstLineChars="200"/>
        <w:jc w:val="both"/>
        <w:rPr>
          <w:rFonts w:hint="default"/>
        </w:rPr>
      </w:pPr>
      <w:r>
        <w:rPr>
          <w:sz w:val="21"/>
        </w:rPr>
        <w:t>项目检测准确性：投标人负责对提供的样品进行检测、建库、测序，负责数据及质控报告交付（按照交付周期要求）。如达不到技术要求，则不予验收，并责令中标人在15个工作日内完成整改，直到整改达标后再予以验收。</w:t>
      </w:r>
    </w:p>
    <w:p w14:paraId="6331DB11">
      <w:pPr>
        <w:pStyle w:val="5"/>
        <w:ind w:firstLine="480"/>
        <w:jc w:val="both"/>
        <w:rPr>
          <w:rFonts w:hint="default"/>
        </w:rPr>
      </w:pPr>
      <w:r>
        <w:rPr>
          <w:sz w:val="21"/>
        </w:rPr>
        <w:t>（</w:t>
      </w:r>
      <w:r>
        <w:rPr>
          <w:sz w:val="21"/>
          <w:lang w:eastAsia="zh-CN"/>
        </w:rPr>
        <w:t>2</w:t>
      </w:r>
      <w:r>
        <w:rPr>
          <w:sz w:val="21"/>
        </w:rPr>
        <w:t>）为保障本项目进度及完成质量，项目开展后，采购人每月对上个月中标人提供的服务、完成的样本检测进行验收；项目履约期满后，采购人对项目进行验收。</w:t>
      </w:r>
    </w:p>
    <w:p w14:paraId="6E4BB778">
      <w:pPr>
        <w:pStyle w:val="5"/>
        <w:ind w:firstLine="480"/>
        <w:jc w:val="both"/>
        <w:rPr>
          <w:rFonts w:hint="default"/>
          <w:sz w:val="21"/>
        </w:rPr>
      </w:pPr>
      <w:r>
        <w:rPr>
          <w:sz w:val="21"/>
        </w:rPr>
        <w:t>（3）采购人按照以下标准每季度（每三个月为一个季度）对中标人的服务质量进行季度考核，并根据考核结果扣罚中标人的服务费。如发生不良事件，除了扣罚相应标本的服务费，还需给予采购人问题样本费用双倍的赔偿，如项目延期，每延期一日应向采购人赔偿该标本服务费金额（检测项目招标限价x折扣）的百分之五。如上季度考核期内发生不良事件3次或以上的，中标人除了承担上述赔偿责任外，采购人可立刻终止合作合同且不承担违约责任。</w:t>
      </w:r>
    </w:p>
    <w:p w14:paraId="584CAD66">
      <w:pPr>
        <w:pStyle w:val="5"/>
        <w:numPr>
          <w:ilvl w:val="0"/>
          <w:numId w:val="2"/>
        </w:numPr>
        <w:ind w:firstLine="420" w:firstLineChars="200"/>
        <w:jc w:val="both"/>
        <w:rPr>
          <w:rFonts w:hint="default"/>
        </w:rPr>
      </w:pPr>
      <w:r>
        <w:rPr>
          <w:sz w:val="21"/>
        </w:rPr>
        <w:t>误验例数：每</w:t>
      </w:r>
      <w:r>
        <w:rPr>
          <w:sz w:val="21"/>
          <w:lang w:eastAsia="zh-CN"/>
        </w:rPr>
        <w:t>年</w:t>
      </w:r>
      <w:r>
        <w:rPr>
          <w:sz w:val="21"/>
        </w:rPr>
        <w:t>不高于1例；</w:t>
      </w:r>
    </w:p>
    <w:p w14:paraId="07E9CA31">
      <w:pPr>
        <w:pStyle w:val="5"/>
        <w:numPr>
          <w:ilvl w:val="0"/>
          <w:numId w:val="2"/>
        </w:numPr>
        <w:ind w:firstLine="420" w:firstLineChars="200"/>
        <w:jc w:val="both"/>
        <w:rPr>
          <w:rFonts w:hint="default"/>
        </w:rPr>
      </w:pPr>
      <w:r>
        <w:rPr>
          <w:sz w:val="21"/>
        </w:rPr>
        <w:t>漏检例数：每</w:t>
      </w:r>
      <w:r>
        <w:rPr>
          <w:sz w:val="21"/>
          <w:lang w:eastAsia="zh-CN"/>
        </w:rPr>
        <w:t>年</w:t>
      </w:r>
      <w:r>
        <w:rPr>
          <w:sz w:val="21"/>
        </w:rPr>
        <w:t>不高于1例；</w:t>
      </w:r>
    </w:p>
    <w:p w14:paraId="33D46F2E">
      <w:pPr>
        <w:pStyle w:val="5"/>
        <w:numPr>
          <w:ilvl w:val="0"/>
          <w:numId w:val="2"/>
        </w:numPr>
        <w:ind w:firstLine="420" w:firstLineChars="200"/>
        <w:jc w:val="both"/>
        <w:rPr>
          <w:rFonts w:hint="default"/>
        </w:rPr>
      </w:pPr>
      <w:r>
        <w:rPr>
          <w:sz w:val="21"/>
        </w:rPr>
        <w:t>及时率：结果及时，及时率</w:t>
      </w:r>
      <w:r>
        <w:rPr>
          <w:sz w:val="21"/>
          <w:lang w:eastAsia="zh-CN"/>
        </w:rPr>
        <w:t>每年</w:t>
      </w:r>
      <w:r>
        <w:rPr>
          <w:sz w:val="21"/>
        </w:rPr>
        <w:t>大于99.5%；</w:t>
      </w:r>
    </w:p>
    <w:p w14:paraId="23BDCF19">
      <w:pPr>
        <w:pStyle w:val="5"/>
        <w:numPr>
          <w:ilvl w:val="0"/>
          <w:numId w:val="2"/>
        </w:numPr>
        <w:ind w:firstLine="420" w:firstLineChars="200"/>
        <w:jc w:val="both"/>
        <w:rPr>
          <w:rFonts w:hint="default"/>
        </w:rPr>
      </w:pPr>
      <w:r>
        <w:rPr>
          <w:sz w:val="21"/>
        </w:rPr>
        <w:t>误报率：姓名、结果等误报每</w:t>
      </w:r>
      <w:r>
        <w:rPr>
          <w:sz w:val="21"/>
          <w:lang w:eastAsia="zh-CN"/>
        </w:rPr>
        <w:t>年</w:t>
      </w:r>
      <w:r>
        <w:rPr>
          <w:sz w:val="21"/>
        </w:rPr>
        <w:t>不高于2例；</w:t>
      </w:r>
    </w:p>
    <w:p w14:paraId="72840853">
      <w:pPr>
        <w:pStyle w:val="5"/>
        <w:numPr>
          <w:ilvl w:val="0"/>
          <w:numId w:val="2"/>
        </w:numPr>
        <w:ind w:firstLine="420" w:firstLineChars="200"/>
        <w:jc w:val="both"/>
        <w:rPr>
          <w:rFonts w:hint="default"/>
        </w:rPr>
      </w:pPr>
      <w:r>
        <w:rPr>
          <w:sz w:val="21"/>
        </w:rPr>
        <w:t>检测样本丢失、运送错误、混淆等问题：</w:t>
      </w:r>
      <w:r>
        <w:rPr>
          <w:sz w:val="21"/>
          <w:lang w:eastAsia="zh-CN"/>
        </w:rPr>
        <w:t>每年</w:t>
      </w:r>
      <w:r>
        <w:rPr>
          <w:sz w:val="21"/>
        </w:rPr>
        <w:t>不高于1例；</w:t>
      </w:r>
    </w:p>
    <w:p w14:paraId="1AC182A4">
      <w:pPr>
        <w:pStyle w:val="5"/>
        <w:numPr>
          <w:ilvl w:val="0"/>
          <w:numId w:val="2"/>
        </w:numPr>
        <w:ind w:firstLine="420" w:firstLineChars="200"/>
        <w:jc w:val="both"/>
        <w:rPr>
          <w:rFonts w:hint="default"/>
        </w:rPr>
      </w:pPr>
      <w:r>
        <w:rPr>
          <w:sz w:val="21"/>
        </w:rPr>
        <w:t>如因投标人检测结果与复检结果不一致，造成法律纠纷或经济损失的，由投标人承担纠纷产生的一切法律责任和经济责任。</w:t>
      </w:r>
    </w:p>
    <w:p w14:paraId="13D86448">
      <w:pPr>
        <w:pStyle w:val="5"/>
        <w:ind w:firstLine="480"/>
        <w:jc w:val="both"/>
        <w:rPr>
          <w:rFonts w:hint="default"/>
        </w:rPr>
      </w:pPr>
      <w:r>
        <w:rPr>
          <w:sz w:val="21"/>
        </w:rPr>
        <w:t>（</w:t>
      </w:r>
      <w:r>
        <w:rPr>
          <w:sz w:val="21"/>
          <w:lang w:eastAsia="zh-CN"/>
        </w:rPr>
        <w:t>4</w:t>
      </w:r>
      <w:r>
        <w:rPr>
          <w:sz w:val="21"/>
        </w:rPr>
        <w:t>）采购人对中标人进行年度考核，年度考核评价内容分以下三方面：第一，测序质量，考核年度内若发生测序质量不达标事件（包括但不限于测序深度低于目标值、测序碱基错误率高于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采购人可单方终止本项目，且有权要求中标人承担违约责任。中标人如对采购人造成经济损失的，还需赔偿采购人遭受的所有的损失。合同签署执行后，如中标人出现连续两个批次技术参数不达标，采购人有权终止合同。</w:t>
      </w:r>
    </w:p>
    <w:p w14:paraId="10B8E55B">
      <w:pPr>
        <w:pStyle w:val="5"/>
        <w:ind w:firstLine="480"/>
        <w:jc w:val="both"/>
        <w:rPr>
          <w:rFonts w:hint="default"/>
        </w:rPr>
      </w:pPr>
      <w:r>
        <w:rPr>
          <w:sz w:val="21"/>
        </w:rPr>
        <w:t>（</w:t>
      </w:r>
      <w:r>
        <w:rPr>
          <w:sz w:val="21"/>
          <w:lang w:eastAsia="zh-CN"/>
        </w:rPr>
        <w:t>5</w:t>
      </w:r>
      <w:r>
        <w:rPr>
          <w:sz w:val="21"/>
        </w:rPr>
        <w:t>）双方约定的其他验收标准。</w:t>
      </w:r>
    </w:p>
    <w:p w14:paraId="022574C0">
      <w:pPr>
        <w:pStyle w:val="5"/>
        <w:ind w:firstLine="480"/>
        <w:jc w:val="both"/>
        <w:rPr>
          <w:rFonts w:hint="default"/>
        </w:rPr>
      </w:pPr>
      <w:r>
        <w:rPr>
          <w:sz w:val="21"/>
          <w:lang w:eastAsia="zh-CN"/>
        </w:rPr>
        <w:t>2.10</w:t>
      </w:r>
      <w:r>
        <w:rPr>
          <w:sz w:val="21"/>
        </w:rPr>
        <w:t>其他</w:t>
      </w:r>
    </w:p>
    <w:p w14:paraId="444AC92F">
      <w:pPr>
        <w:pStyle w:val="5"/>
        <w:ind w:firstLine="480"/>
        <w:jc w:val="both"/>
        <w:rPr>
          <w:rFonts w:hint="default"/>
        </w:rPr>
      </w:pPr>
      <w:r>
        <w:rPr>
          <w:sz w:val="21"/>
        </w:rPr>
        <w:t>（</w:t>
      </w:r>
      <w:r>
        <w:rPr>
          <w:sz w:val="21"/>
          <w:lang w:eastAsia="zh-CN"/>
        </w:rPr>
        <w:t>1</w:t>
      </w:r>
      <w:r>
        <w:rPr>
          <w:sz w:val="21"/>
        </w:rPr>
        <w:t>）投标人对检测结果进行修正或更改过程中，不受任何诱使或压力的影响，保证检测结果的公正性。</w:t>
      </w:r>
    </w:p>
    <w:p w14:paraId="14779CF8">
      <w:pPr>
        <w:pStyle w:val="5"/>
        <w:ind w:firstLine="480"/>
        <w:jc w:val="both"/>
        <w:rPr>
          <w:rFonts w:hint="default"/>
        </w:rPr>
      </w:pPr>
      <w:r>
        <w:rPr>
          <w:sz w:val="21"/>
        </w:rPr>
        <w:t>（</w:t>
      </w:r>
      <w:r>
        <w:rPr>
          <w:sz w:val="21"/>
          <w:lang w:eastAsia="zh-CN"/>
        </w:rPr>
        <w:t>2</w:t>
      </w:r>
      <w:r>
        <w:rPr>
          <w:sz w:val="21"/>
        </w:rPr>
        <w:t>）投标人针对本项目提供检测服务方案，内容包括样本检测及交付流程、人员岗位职责安排、设施与设备管理制度、试剂管理制度，及分析前、中、后三个阶段的质量管理制度。</w:t>
      </w:r>
    </w:p>
    <w:p w14:paraId="0026B816">
      <w:pPr>
        <w:pStyle w:val="5"/>
        <w:ind w:firstLine="480"/>
        <w:jc w:val="both"/>
        <w:rPr>
          <w:rFonts w:hint="default"/>
          <w:sz w:val="21"/>
        </w:rPr>
      </w:pPr>
      <w:r>
        <w:rPr>
          <w:sz w:val="21"/>
        </w:rPr>
        <w:t>（3）如在合同期间，由于国家相关政策规定，致使合同不能继续履行的，项目自动终止，采购人不承担违约责任。</w:t>
      </w:r>
      <w:bookmarkStart w:id="0" w:name="_GoBack"/>
      <w:bookmarkEnd w:id="0"/>
    </w:p>
    <w:p w14:paraId="71759DEC">
      <w:pPr>
        <w:pStyle w:val="5"/>
        <w:jc w:val="both"/>
        <w:rPr>
          <w:rFonts w:hint="default"/>
          <w:sz w:val="21"/>
        </w:rPr>
      </w:pPr>
    </w:p>
    <w:p w14:paraId="5983D488">
      <w:pPr>
        <w:pStyle w:val="5"/>
        <w:rPr>
          <w:rFonts w:hint="default"/>
          <w:bCs/>
        </w:rPr>
      </w:pPr>
      <w:r>
        <w:rPr>
          <w:bCs/>
        </w:rPr>
        <w:t>附表</w:t>
      </w:r>
      <w:r>
        <w:rPr>
          <w:bCs/>
          <w:lang w:eastAsia="zh-CN"/>
        </w:rPr>
        <w:t>1</w:t>
      </w:r>
      <w:r>
        <w:rPr>
          <w:bCs/>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9AB7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94CB19">
            <w:pPr>
              <w:pStyle w:val="5"/>
              <w:rPr>
                <w:rFonts w:hint="default" w:asciiTheme="minorEastAsia" w:hAnsiTheme="minorEastAsia" w:cstheme="minorEastAsia"/>
              </w:rPr>
            </w:pPr>
            <w:r>
              <w:rPr>
                <w:rFonts w:asciiTheme="minorEastAsia" w:hAnsiTheme="minorEastAsia" w:cstheme="minorEastAsia"/>
              </w:rPr>
              <w:t>参数性质</w:t>
            </w:r>
          </w:p>
        </w:tc>
        <w:tc>
          <w:tcPr>
            <w:tcW w:w="415" w:type="dxa"/>
          </w:tcPr>
          <w:p w14:paraId="3D345FE0">
            <w:pPr>
              <w:pStyle w:val="5"/>
              <w:rPr>
                <w:rFonts w:hint="default" w:asciiTheme="minorEastAsia" w:hAnsiTheme="minorEastAsia" w:cstheme="minorEastAsia"/>
              </w:rPr>
            </w:pPr>
            <w:r>
              <w:rPr>
                <w:rFonts w:asciiTheme="minorEastAsia" w:hAnsiTheme="minorEastAsia" w:cstheme="minorEastAsia"/>
              </w:rPr>
              <w:t>序号</w:t>
            </w:r>
          </w:p>
        </w:tc>
        <w:tc>
          <w:tcPr>
            <w:tcW w:w="5814" w:type="dxa"/>
          </w:tcPr>
          <w:p w14:paraId="0F786ECD">
            <w:pPr>
              <w:pStyle w:val="5"/>
              <w:rPr>
                <w:rFonts w:hint="default" w:asciiTheme="minorEastAsia" w:hAnsiTheme="minorEastAsia" w:cstheme="minorEastAsia"/>
              </w:rPr>
            </w:pPr>
            <w:r>
              <w:rPr>
                <w:rFonts w:asciiTheme="minorEastAsia" w:hAnsiTheme="minorEastAsia" w:cstheme="minorEastAsia"/>
              </w:rPr>
              <w:t>具体技术(参数)要求</w:t>
            </w:r>
          </w:p>
        </w:tc>
      </w:tr>
      <w:tr w14:paraId="63E94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051A59">
            <w:pPr>
              <w:rPr>
                <w:rFonts w:asciiTheme="minorEastAsia" w:hAnsiTheme="minorEastAsia" w:cstheme="minorEastAsia"/>
              </w:rPr>
            </w:pPr>
          </w:p>
        </w:tc>
        <w:tc>
          <w:tcPr>
            <w:tcW w:w="415" w:type="dxa"/>
          </w:tcPr>
          <w:p w14:paraId="0E468015">
            <w:pPr>
              <w:pStyle w:val="5"/>
              <w:rPr>
                <w:rFonts w:hint="default" w:asciiTheme="minorEastAsia" w:hAnsiTheme="minorEastAsia" w:cstheme="minorEastAsia"/>
              </w:rPr>
            </w:pPr>
            <w:r>
              <w:rPr>
                <w:rFonts w:asciiTheme="minorEastAsia" w:hAnsiTheme="minorEastAsia" w:cstheme="minorEastAsia"/>
              </w:rPr>
              <w:t>1</w:t>
            </w:r>
          </w:p>
        </w:tc>
        <w:tc>
          <w:tcPr>
            <w:tcW w:w="5814" w:type="dxa"/>
          </w:tcPr>
          <w:p w14:paraId="0F17CC87">
            <w:pPr>
              <w:pStyle w:val="5"/>
              <w:ind w:firstLine="480"/>
              <w:jc w:val="both"/>
              <w:rPr>
                <w:rFonts w:hint="default" w:asciiTheme="minorEastAsia" w:hAnsiTheme="minorEastAsia" w:cstheme="minorEastAsia"/>
              </w:rPr>
            </w:pPr>
            <w:r>
              <w:rPr>
                <w:rFonts w:asciiTheme="minorEastAsia" w:hAnsiTheme="minorEastAsia" w:cstheme="minorEastAsia"/>
                <w:sz w:val="21"/>
              </w:rPr>
              <w:t>见采购需求。</w:t>
            </w:r>
          </w:p>
        </w:tc>
      </w:tr>
      <w:tr w14:paraId="53CA3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6242DC">
            <w:pPr>
              <w:pStyle w:val="5"/>
              <w:rPr>
                <w:rFonts w:hint="default" w:asciiTheme="minorEastAsia" w:hAnsiTheme="minorEastAsia" w:cstheme="minorEastAsia"/>
              </w:rPr>
            </w:pPr>
            <w:r>
              <w:rPr>
                <w:rFonts w:asciiTheme="minorEastAsia" w:hAnsiTheme="minorEastAsia" w:cstheme="minorEastAsia"/>
              </w:rPr>
              <w:t>说明</w:t>
            </w:r>
          </w:p>
        </w:tc>
        <w:tc>
          <w:tcPr>
            <w:tcW w:w="6229" w:type="dxa"/>
            <w:gridSpan w:val="2"/>
          </w:tcPr>
          <w:p w14:paraId="4BBCF573">
            <w:pPr>
              <w:pStyle w:val="5"/>
              <w:rPr>
                <w:rFonts w:hint="default" w:asciiTheme="minorEastAsia" w:hAnsiTheme="minorEastAsia" w:cstheme="minorEastAsia"/>
              </w:rPr>
            </w:pPr>
            <w:r>
              <w:rPr>
                <w:rFonts w:asciiTheme="minorEastAsia" w:hAnsiTheme="minorEastAsia" w:cstheme="minorEastAsia"/>
              </w:rPr>
              <w:t>打“★”号条款为实质性条款，若有任何一条负偏离或不满足则导致投标无效。</w:t>
            </w:r>
            <w:r>
              <w:rPr>
                <w:rFonts w:asciiTheme="minorEastAsia" w:hAnsiTheme="minorEastAsia" w:cstheme="minorEastAsia"/>
              </w:rPr>
              <w:br w:type="textWrapping"/>
            </w:r>
            <w:r>
              <w:rPr>
                <w:rFonts w:asciiTheme="minorEastAsia" w:hAnsiTheme="minorEastAsia" w:cstheme="minorEastAsia"/>
              </w:rPr>
              <w:t>打“▲”号条款为重要技术参数，若有部分“▲”条款未响应或不满足，将导致其响应性评审加重扣分，但不作为无效投标条款。</w:t>
            </w:r>
          </w:p>
        </w:tc>
      </w:tr>
    </w:tbl>
    <w:p w14:paraId="05CC8259">
      <w:pPr>
        <w:pStyle w:val="5"/>
        <w:jc w:val="both"/>
        <w:rPr>
          <w:rFonts w:hint="default" w:asciiTheme="minorEastAsia" w:hAnsiTheme="minorEastAsia" w:cstheme="minorEastAsia"/>
          <w:sz w:val="21"/>
        </w:rPr>
      </w:pPr>
    </w:p>
    <w:p w14:paraId="1C4A48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CB706"/>
    <w:multiLevelType w:val="singleLevel"/>
    <w:tmpl w:val="966CB706"/>
    <w:lvl w:ilvl="0" w:tentative="0">
      <w:start w:val="1"/>
      <w:numFmt w:val="decimalEnclosedCircleChinese"/>
      <w:suff w:val="nothing"/>
      <w:lvlText w:val="%1　"/>
      <w:lvlJc w:val="left"/>
      <w:pPr>
        <w:ind w:left="0" w:firstLine="400"/>
      </w:pPr>
      <w:rPr>
        <w:rFonts w:hint="eastAsia"/>
      </w:rPr>
    </w:lvl>
  </w:abstractNum>
  <w:abstractNum w:abstractNumId="1">
    <w:nsid w:val="DBFD1A2F"/>
    <w:multiLevelType w:val="singleLevel"/>
    <w:tmpl w:val="DBFD1A2F"/>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OThiYWE5ZDVjYmY2Y2NlZjE3NmFlMWVhNGE5NmMifQ=="/>
  </w:docVars>
  <w:rsids>
    <w:rsidRoot w:val="006F7930"/>
    <w:rsid w:val="0005206D"/>
    <w:rsid w:val="00114064"/>
    <w:rsid w:val="002E6413"/>
    <w:rsid w:val="0031027D"/>
    <w:rsid w:val="00464CDB"/>
    <w:rsid w:val="005D1EB0"/>
    <w:rsid w:val="00633879"/>
    <w:rsid w:val="006F7930"/>
    <w:rsid w:val="0077204D"/>
    <w:rsid w:val="00B3708A"/>
    <w:rsid w:val="00D12887"/>
    <w:rsid w:val="00D46CB3"/>
    <w:rsid w:val="00F5411A"/>
    <w:rsid w:val="00F80328"/>
    <w:rsid w:val="028B4CB0"/>
    <w:rsid w:val="037D2EEC"/>
    <w:rsid w:val="043D456A"/>
    <w:rsid w:val="05E51322"/>
    <w:rsid w:val="07D7323C"/>
    <w:rsid w:val="0ACD5079"/>
    <w:rsid w:val="0CDB6FDB"/>
    <w:rsid w:val="0DA66BF2"/>
    <w:rsid w:val="12B55C37"/>
    <w:rsid w:val="149070A3"/>
    <w:rsid w:val="17E70DBC"/>
    <w:rsid w:val="17E81578"/>
    <w:rsid w:val="194B37F9"/>
    <w:rsid w:val="1A004525"/>
    <w:rsid w:val="1B7D79BE"/>
    <w:rsid w:val="1C7A6810"/>
    <w:rsid w:val="1D724E0F"/>
    <w:rsid w:val="1DD5022C"/>
    <w:rsid w:val="20ED427A"/>
    <w:rsid w:val="24B03B1F"/>
    <w:rsid w:val="25C9439B"/>
    <w:rsid w:val="269C55D5"/>
    <w:rsid w:val="27A10C04"/>
    <w:rsid w:val="288738A3"/>
    <w:rsid w:val="2AC14E3D"/>
    <w:rsid w:val="2C1D71C3"/>
    <w:rsid w:val="2FEA115F"/>
    <w:rsid w:val="315A5124"/>
    <w:rsid w:val="31D90FB7"/>
    <w:rsid w:val="37D47B5E"/>
    <w:rsid w:val="38107BD1"/>
    <w:rsid w:val="38432B99"/>
    <w:rsid w:val="39475874"/>
    <w:rsid w:val="396401D4"/>
    <w:rsid w:val="39A61A44"/>
    <w:rsid w:val="3BDB7759"/>
    <w:rsid w:val="3BFC2946"/>
    <w:rsid w:val="3DFF4855"/>
    <w:rsid w:val="40D84160"/>
    <w:rsid w:val="43512ED1"/>
    <w:rsid w:val="465D67EB"/>
    <w:rsid w:val="48057626"/>
    <w:rsid w:val="4B3819C1"/>
    <w:rsid w:val="4C325F10"/>
    <w:rsid w:val="4DA0550D"/>
    <w:rsid w:val="4F7074F3"/>
    <w:rsid w:val="4F886166"/>
    <w:rsid w:val="508A55B1"/>
    <w:rsid w:val="580C1590"/>
    <w:rsid w:val="585711D8"/>
    <w:rsid w:val="58D2085F"/>
    <w:rsid w:val="599F714B"/>
    <w:rsid w:val="5BC0248A"/>
    <w:rsid w:val="5CF74D38"/>
    <w:rsid w:val="5D4D7C59"/>
    <w:rsid w:val="5F746315"/>
    <w:rsid w:val="60A800F7"/>
    <w:rsid w:val="60BB4277"/>
    <w:rsid w:val="620B6B90"/>
    <w:rsid w:val="62332FF4"/>
    <w:rsid w:val="67024470"/>
    <w:rsid w:val="673C7B87"/>
    <w:rsid w:val="68540957"/>
    <w:rsid w:val="6A250911"/>
    <w:rsid w:val="6BEC7A32"/>
    <w:rsid w:val="6D710D7B"/>
    <w:rsid w:val="70BD40A3"/>
    <w:rsid w:val="72A64F21"/>
    <w:rsid w:val="73F2195D"/>
    <w:rsid w:val="74616FE7"/>
    <w:rsid w:val="74DB1812"/>
    <w:rsid w:val="7533222E"/>
    <w:rsid w:val="75834F63"/>
    <w:rsid w:val="782D565A"/>
    <w:rsid w:val="7A183B59"/>
    <w:rsid w:val="7E841750"/>
    <w:rsid w:val="7F39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 w:type="paragraph" w:customStyle="1" w:styleId="6">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8269</Words>
  <Characters>8519</Characters>
  <Lines>59</Lines>
  <Paragraphs>16</Paragraphs>
  <TotalTime>16</TotalTime>
  <ScaleCrop>false</ScaleCrop>
  <LinksUpToDate>false</LinksUpToDate>
  <CharactersWithSpaces>8539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2024-11-20T10:23:00Z</dcterms:created>
  <dc:creator>Administrator</dc:creator>
  <cp:lastModifiedBy>伍阿坚</cp:lastModifiedBy>
  <dcterms:modified xsi:type="dcterms:W3CDTF">2026-04-14T09:33:30Z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E31D663DDA854E3EAFA0456BB9234BED_13</vt:lpwstr>
  </property>
  <property fmtid="{D5CDD505-2E9C-101B-9397-08002B2CF9AE}" pid="4" name="KSOTemplateDocerSaveRecord">
    <vt:lpwstr>eyJoZGlkIjoiMGFkYTIxNGRjNWRjZTg5NWIxMjI1N2QzNWQ4ZTgwYTQiLCJ1c2VySWQiOiIyMjY0NjUzODUifQ==</vt:lpwstr>
  </property>
</Properties>
</file>