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4F20D">
      <w:pPr>
        <w:pStyle w:val="2"/>
        <w:keepNext w:val="0"/>
        <w:keepLines w:val="0"/>
        <w:widowControl/>
        <w:suppressLineNumbers w:val="0"/>
        <w:shd w:val="clear" w:fill="FFFFFF"/>
        <w:spacing w:before="0" w:beforeAutospacing="0" w:after="240" w:afterAutospacing="0"/>
        <w:ind w:left="0" w:right="0" w:firstLine="0"/>
        <w:jc w:val="center"/>
        <w:rPr>
          <w:rFonts w:hint="eastAsia" w:ascii="宋体" w:hAnsi="宋体" w:eastAsia="宋体" w:cs="宋体"/>
          <w:i w:val="0"/>
          <w:iCs w:val="0"/>
          <w:caps w:val="0"/>
          <w:color w:val="0F1115"/>
          <w:spacing w:val="0"/>
          <w:sz w:val="30"/>
          <w:szCs w:val="30"/>
        </w:rPr>
      </w:pPr>
      <w:bookmarkStart w:id="0" w:name="_GoBack"/>
      <w:bookmarkEnd w:id="0"/>
      <w:r>
        <w:rPr>
          <w:rStyle w:val="5"/>
          <w:rFonts w:hint="eastAsia" w:ascii="宋体" w:hAnsi="宋体" w:eastAsia="宋体" w:cs="宋体"/>
          <w:b/>
          <w:bCs/>
          <w:i w:val="0"/>
          <w:iCs w:val="0"/>
          <w:caps w:val="0"/>
          <w:color w:val="0F1115"/>
          <w:spacing w:val="0"/>
          <w:sz w:val="30"/>
          <w:szCs w:val="30"/>
          <w:shd w:val="clear" w:fill="FFFFFF"/>
        </w:rPr>
        <w:t>检验外送项目技术要求</w:t>
      </w:r>
    </w:p>
    <w:p w14:paraId="5AE4C0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1. 技术要求</w:t>
      </w:r>
    </w:p>
    <w:p w14:paraId="3C7762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（1）</w:t>
      </w:r>
      <w:r>
        <w:t>▲</w:t>
      </w:r>
      <w:r>
        <w:rPr>
          <w:rFonts w:hint="default"/>
        </w:rPr>
        <w:t>投标人实验室须符合国家卫生健康委员会《医疗机构临床实验室管理办法》等相关法律法规要求。</w:t>
      </w:r>
    </w:p>
    <w:p w14:paraId="5DA94C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（2）</w:t>
      </w:r>
      <w:r>
        <w:t>▲</w:t>
      </w:r>
      <w:r>
        <w:rPr>
          <w:rFonts w:hint="default"/>
        </w:rPr>
        <w:t>投标人实验室须持有省级或以上临床检验中心颁发的临床基因扩增检验实验室技术审核验收合格证书。</w:t>
      </w:r>
    </w:p>
    <w:p w14:paraId="65A4F9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w:t>
      </w:r>
      <w:r>
        <w:t>▲</w:t>
      </w:r>
      <w:r>
        <w:rPr>
          <w:rFonts w:hint="default"/>
        </w:rPr>
        <w:t>投标人实验室须按规定参加国家级或省级临床检验中心组织的室间质量评价活动，并取得合格成绩。</w:t>
      </w:r>
    </w:p>
    <w:p w14:paraId="2A5934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（4）</w:t>
      </w:r>
      <w:r>
        <w:t>▲</w:t>
      </w:r>
      <w:r>
        <w:rPr>
          <w:rFonts w:hint="default"/>
        </w:rPr>
        <w:t>投标人实验室须具备生物安全一级（BSL-1）及二级（BSL-2）实验室资质。</w:t>
      </w:r>
    </w:p>
    <w:p w14:paraId="6ACDD1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（5）</w:t>
      </w:r>
      <w:r>
        <w:t>▲</w:t>
      </w:r>
      <w:r>
        <w:rPr>
          <w:rFonts w:hint="default"/>
        </w:rPr>
        <w:t>投标人如持有中国合格评定国家认可委员会（CNAS）颁发的ISO 15189认可证书，</w:t>
      </w:r>
      <w:r>
        <w:rPr>
          <w:rFonts w:hint="eastAsia"/>
          <w:lang w:val="en-US" w:eastAsia="zh-CN"/>
        </w:rPr>
        <w:t>至少包括</w:t>
      </w:r>
      <w:r>
        <w:t>认证的领域须含盖检验医学</w:t>
      </w:r>
      <w:r>
        <w:rPr>
          <w:rFonts w:hint="default"/>
        </w:rPr>
        <w:t>。</w:t>
      </w:r>
    </w:p>
    <w:p w14:paraId="41B600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（6）</w:t>
      </w:r>
      <w:r>
        <w:t>▲</w:t>
      </w:r>
      <w:r>
        <w:rPr>
          <w:rFonts w:hint="eastAsia"/>
          <w:lang w:val="en-US" w:eastAsia="zh-CN"/>
        </w:rPr>
        <w:t>检验结果互认：</w:t>
      </w:r>
      <w:r>
        <w:rPr>
          <w:rFonts w:hint="eastAsia"/>
        </w:rPr>
        <w:t>投标人</w:t>
      </w:r>
      <w:r>
        <w:rPr>
          <w:rFonts w:hint="eastAsia"/>
          <w:lang w:val="en-US" w:eastAsia="zh-CN"/>
        </w:rPr>
        <w:t>2025</w:t>
      </w:r>
      <w:r>
        <w:rPr>
          <w:rFonts w:hint="eastAsia"/>
        </w:rPr>
        <w:t>年通过</w:t>
      </w:r>
      <w:r>
        <w:rPr>
          <w:rFonts w:hint="eastAsia"/>
          <w:lang w:val="en-US" w:eastAsia="zh-CN"/>
        </w:rPr>
        <w:t>省</w:t>
      </w:r>
      <w:r>
        <w:rPr>
          <w:rFonts w:hint="eastAsia"/>
        </w:rPr>
        <w:t>级（或以上级别）临床检验结果互认项目数进行评审</w:t>
      </w:r>
      <w:r>
        <w:rPr>
          <w:rFonts w:hint="eastAsia"/>
          <w:lang w:eastAsia="zh-CN"/>
        </w:rPr>
        <w:t>。</w:t>
      </w:r>
    </w:p>
    <w:p w14:paraId="365D6D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rPr>
      </w:pPr>
      <w:r>
        <w:rPr>
          <w:rFonts w:hint="default" w:ascii="宋体" w:hAnsi="宋体" w:eastAsia="宋体" w:cs="宋体"/>
          <w:b/>
          <w:bCs/>
        </w:rPr>
        <w:t>2. 检测样本运输要求</w:t>
      </w:r>
    </w:p>
    <w:p w14:paraId="68B428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（1）投标人须具备完善的冷链物流能力，提供有效的《道路运输经营许可证》（经营范围须包含“货物专用运输（冷藏保鲜）”），并提供通过CNAS认可的铁路、公路、航空等货物运输条件鉴定书。</w:t>
      </w:r>
    </w:p>
    <w:p w14:paraId="27042F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2）投标人须提供免费的物流服务，并按照双方约定，每周至少7天安排专人到采购方指定地点接收检测样本。特殊检测样本可根据需要机动收取。如遇采购方设备故障、检修或现有设备无法满足检验需求时，投标人须积极响应，提供解决方案，协助完成相关样本的检测，保障临床工作正常运行。必要时，应派驻专人驻点处理委托检测样本，并按约定及时收取。</w:t>
      </w:r>
    </w:p>
    <w:p w14:paraId="0085C0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（3）样本运输具体要求如下：</w:t>
      </w:r>
    </w:p>
    <w:p w14:paraId="2BA4AA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3.1 临床科室完成样本采集后，由投标人安排专人按约定时间和地点接收样本，并负责全程物流运输。</w:t>
      </w:r>
    </w:p>
    <w:p w14:paraId="226E0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default"/>
        </w:rPr>
        <w:t xml:space="preserve">3.3 </w:t>
      </w:r>
      <w:r>
        <w:t>投标人需向采购人提供血液采集试管及特殊检查耗材（如普通试管、液基薄层耗材取材工具等）</w:t>
      </w:r>
      <w:r>
        <w:rPr>
          <w:rFonts w:hint="eastAsia"/>
          <w:lang w:eastAsia="zh-CN"/>
        </w:rPr>
        <w:t>。</w:t>
      </w:r>
    </w:p>
    <w:p w14:paraId="72BC85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3.4 投标人样本接收人员须经过严格培训，负责样本质量的初步检查、标识核对、接收登记及包装储存。如发现样本不符合检验要求，应及时通知采购方重新采样。</w:t>
      </w:r>
    </w:p>
    <w:p w14:paraId="76F7E5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3.5 样本运输须保持直立、冷藏、密封状态，</w:t>
      </w:r>
      <w:r>
        <w:rPr>
          <w:rFonts w:hint="eastAsia"/>
          <w:lang w:val="en-US" w:eastAsia="zh-CN"/>
        </w:rPr>
        <w:t>投标人物流团队符合国家标准GB/T 42186-2022《医学检验生物样本冷链物流运作规范》</w:t>
      </w:r>
      <w:r>
        <w:rPr>
          <w:rFonts w:hint="default"/>
        </w:rPr>
        <w:t>，确保运输过程中的样本质量和环境安全。对于需低温冷冻或有特殊要求的样本，由双方根据具体项目另行商定。投标人须提供相关运输方案的详细说明、运输专用容器的实物图片，以及全程电子监控系统的系统截图和功能介绍。</w:t>
      </w:r>
    </w:p>
    <w:p w14:paraId="46B0DC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3.6 如检测样本在送检过程中发生延迟、遗漏、丢失等情况，投标人须具备完善的应急预案，确保问题得到妥善解决，并承担相应责任。</w:t>
      </w:r>
    </w:p>
    <w:p w14:paraId="3B40B8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rPr>
      </w:pPr>
      <w:r>
        <w:rPr>
          <w:rFonts w:hint="default" w:ascii="宋体" w:hAnsi="宋体" w:eastAsia="宋体" w:cs="宋体"/>
          <w:b/>
          <w:bCs/>
        </w:rPr>
        <w:t>3. 实验室检测要求</w:t>
      </w:r>
    </w:p>
    <w:p w14:paraId="2E499C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（1）检验项目及检测方法详见附件《项目清单》。投标人须按采购方指定的方法进行检测；如方法不一致，需与采购方协商确定。投标人应逐项列出响应情况，未包含的项目由双方协商决定。</w:t>
      </w:r>
    </w:p>
    <w:p w14:paraId="51E704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（2）</w:t>
      </w:r>
      <w:r>
        <w:t>▲实验室人员资质：</w:t>
      </w:r>
      <w:r>
        <w:rPr>
          <w:rFonts w:hint="eastAsia"/>
          <w:lang w:val="en-US" w:eastAsia="zh-CN"/>
        </w:rPr>
        <w:t>投标</w:t>
      </w:r>
      <w:r>
        <w:t>人员配备合理，职责明确，提供完备的服务团队，包括检验技师、PCR上岗证</w:t>
      </w:r>
      <w:r>
        <w:rPr>
          <w:rFonts w:hint="eastAsia"/>
          <w:lang w:val="en-US" w:eastAsia="zh-CN"/>
        </w:rPr>
        <w:t>等</w:t>
      </w:r>
      <w:r>
        <w:rPr>
          <w:rFonts w:hint="default"/>
        </w:rPr>
        <w:t>。</w:t>
      </w:r>
    </w:p>
    <w:p w14:paraId="09523B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投标人须严格按照《全国临床检验操作规程》（第4版）进行操作。检验报告单须由具备相应资质的检验人员签发，并经上级检验师或医师复核。投标人对检测样本的检验报告承担相应责任，并确保检验结果的公正性，不受任何诱因或压力的干扰。</w:t>
      </w:r>
    </w:p>
    <w:p w14:paraId="687D4B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（4）如因投标人实验室质量控制不严导致医疗纠纷、事故等不良后果，相关赔偿责任由投标人承担。</w:t>
      </w:r>
    </w:p>
    <w:p w14:paraId="6E8A60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（5）投标人须按采购方要求，妥善保存或销毁检验后的样本。</w:t>
      </w:r>
    </w:p>
    <w:p w14:paraId="72A4F3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6）投标人须提供免费服务电话、网络查询、微信查询等多种渠道，方便采购方临床部门进行业务咨询、报告查询及账单统计。危急值结果须由专人电话通知。除电子版检测结果外，还应提供纸质版检测报告单。</w:t>
      </w:r>
    </w:p>
    <w:p w14:paraId="0697C7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（7）投标人应明确承诺样本送检及报告发布时间，并按照其提供的《检测项目手册》中规定的时间出具检测报告。</w:t>
      </w:r>
    </w:p>
    <w:p w14:paraId="561453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（8）如部分检查项目需使用采样器、知情同意书、专用患者资料登记申请单等耗材，由投标人无偿提供。</w:t>
      </w:r>
    </w:p>
    <w:p w14:paraId="3F5737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w:t>
      </w:r>
      <w:r>
        <w:rPr>
          <w:rFonts w:hint="eastAsia"/>
          <w:lang w:val="en-US" w:eastAsia="zh-CN"/>
        </w:rPr>
        <w:t>9</w:t>
      </w:r>
      <w:r>
        <w:rPr>
          <w:rFonts w:hint="eastAsia"/>
          <w:lang w:eastAsia="zh-CN"/>
        </w:rPr>
        <w:t>）</w:t>
      </w:r>
      <w:r>
        <w:t>▲</w:t>
      </w:r>
      <w:r>
        <w:rPr>
          <w:rFonts w:hint="eastAsia"/>
        </w:rPr>
        <w:t>投标人拥有完善的检测平台，设备配置齐全、技术先进，（包括但不限于定性PCR、定量PCR、核型分析、测序技术平台、荧光原位杂交（FISH）平台、串联质谱平台、流式细胞仪、电子显微镜等相关技术平台），充分满足本检测项目以及增加项目的潜在需求</w:t>
      </w:r>
      <w:r>
        <w:rPr>
          <w:rFonts w:hint="eastAsia"/>
          <w:lang w:eastAsia="zh-CN"/>
        </w:rPr>
        <w:t>。</w:t>
      </w:r>
    </w:p>
    <w:p w14:paraId="77CD59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w:t>
      </w:r>
      <w:r>
        <w:rPr>
          <w:rFonts w:hint="eastAsia"/>
          <w:lang w:val="en-US" w:eastAsia="zh-CN"/>
        </w:rPr>
        <w:t>10</w:t>
      </w:r>
      <w:r>
        <w:rPr>
          <w:rFonts w:hint="eastAsia"/>
          <w:lang w:eastAsia="zh-CN"/>
        </w:rPr>
        <w:t>）</w:t>
      </w:r>
      <w:r>
        <w:t>▲</w:t>
      </w:r>
      <w:r>
        <w:rPr>
          <w:rFonts w:hint="eastAsia"/>
        </w:rPr>
        <w:t>投标人具有有效期内的质量管理体系认证证书、环境管理体系认证证书、职业健康安全管理体系认证证书，投标人有较强的售后服务能力，获得服务质量评价证书，其证书范围须包括临床医学检验</w:t>
      </w:r>
      <w:r>
        <w:rPr>
          <w:rFonts w:hint="eastAsia"/>
          <w:lang w:eastAsia="zh-CN"/>
        </w:rPr>
        <w:t>。</w:t>
      </w:r>
    </w:p>
    <w:p w14:paraId="3831CA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rPr>
      </w:pPr>
      <w:r>
        <w:rPr>
          <w:rFonts w:hint="default" w:ascii="宋体" w:hAnsi="宋体" w:eastAsia="宋体" w:cs="宋体"/>
          <w:b/>
          <w:bCs/>
        </w:rPr>
        <w:t>4. 信息系统和保密要求</w:t>
      </w:r>
    </w:p>
    <w:p w14:paraId="30435E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（1）投标人须对采购方信息承担保密义务，未经采购方同意，不得泄露委托检验的项目、内容及结果。</w:t>
      </w:r>
    </w:p>
    <w:p w14:paraId="5A7017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（2）检测样本及检测数据的所有权和使用权归采购方所有，未经许可，投标人不得将其用于其他用途。</w:t>
      </w:r>
    </w:p>
    <w:p w14:paraId="66B326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投标人须积极配合并支持与采购方信息系统的对接。为保障检验申请和检验报告的实时网络传输，实现双方实验室数据的汇总、存储和传输，投标人须在服务期内无偿实现与医院LIS及HIS系统的对接，并符合国家信息安全相关规定。相关软硬件设备及日常运行维护由投标人负责提供。</w:t>
      </w:r>
    </w:p>
    <w:p w14:paraId="1F2F2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（4）投标人具备信息化服务能力，能够保证医疗信息安全。对投标人获得的信息安全管理体系认证证书、信息技术服务管理体系认证证书进行评审。</w:t>
      </w:r>
    </w:p>
    <w:p w14:paraId="4E818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投标人在医学检验领域具备人工智能体，通过人工智能应用提升医院医疗服务能力，将人工智能与医院临床诊疗路径及业务流程相结合，实现AI智能体智慧报告解读、疾病问答、项目推荐、用药助手等智能场景应用，辅助临床医生的决策诊断。为保证数据安全，人工智能体通过第三方机构合规化认证</w:t>
      </w:r>
      <w:r>
        <w:rPr>
          <w:rFonts w:hint="eastAsia"/>
          <w:lang w:eastAsia="zh-CN"/>
        </w:rPr>
        <w:t>。</w:t>
      </w:r>
    </w:p>
    <w:p w14:paraId="61A5FC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rPr>
      </w:pPr>
      <w:r>
        <w:rPr>
          <w:rFonts w:hint="default" w:ascii="宋体" w:hAnsi="宋体" w:eastAsia="宋体" w:cs="宋体"/>
          <w:b/>
          <w:bCs/>
        </w:rPr>
        <w:t>5. 售前售后服务要求</w:t>
      </w:r>
    </w:p>
    <w:p w14:paraId="6F9621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（1）投标人须指定专人负责采购方的业务咨询、质量控制及技术培训等工作。</w:t>
      </w:r>
    </w:p>
    <w:p w14:paraId="0F779A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（2）投标人应设有专职客服人员，负责受理采购方反馈信息，并确保信息的传达、跟踪及处理。随时接受采购方查阅项目检测、质量控制等相关情况，满足售后服务需求。</w:t>
      </w:r>
    </w:p>
    <w:p w14:paraId="20C7A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（3）投标人应依托权威技术支撑机构，或借助同一系统内三甲医院的资源，协助采购方开展进修培训、继续教育及学术交流活动。</w:t>
      </w:r>
    </w:p>
    <w:p w14:paraId="0B746D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4）投标人须每年提供所有合作项目的室间质评及室内质量控制报告，室内质控报告应包含质控检测数据、控制标准、质控分析及失控记录。投标人应按采购方要求，随时提供相关质量和技术资料，如更换试剂批号、仪器维修后、检验系统更换后的质控记录和性能验证报告。同时，投标人应随时接受并妥善安排采购方查阅项目检测、质量控制等相关资料。</w:t>
      </w:r>
    </w:p>
    <w:p w14:paraId="018F4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w:t>
      </w:r>
      <w:r>
        <w:rPr>
          <w:rFonts w:hint="eastAsia"/>
          <w:lang w:val="en-US" w:eastAsia="zh-CN"/>
        </w:rPr>
        <w:t>5</w:t>
      </w:r>
      <w:r>
        <w:rPr>
          <w:rFonts w:hint="eastAsia"/>
          <w:lang w:eastAsia="zh-CN"/>
        </w:rPr>
        <w:t>）</w:t>
      </w:r>
      <w:r>
        <w:t>外检目录仅供投标人投标参考。在项目服务期间，采购人有权根据业务发展和临床的需求对外检目录进行增减或修改，中标人应予以配合。</w:t>
      </w:r>
    </w:p>
    <w:p w14:paraId="1D383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C5DFD"/>
    <w:rsid w:val="0E3C5DFD"/>
    <w:rsid w:val="13A97E7F"/>
    <w:rsid w:val="26B40F84"/>
    <w:rsid w:val="469943E1"/>
    <w:rsid w:val="614538A0"/>
    <w:rsid w:val="688C4EA0"/>
    <w:rsid w:val="68D8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2488</Words>
  <Characters>2553</Characters>
  <Lines>0</Lines>
  <Paragraphs>0</Paragraphs>
  <TotalTime>13</TotalTime>
  <ScaleCrop>false</ScaleCrop>
  <LinksUpToDate>false</LinksUpToDate>
  <CharactersWithSpaces>2565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2026-03-19T06:47:00Z</dcterms:created>
  <dc:creator>林胜元</dc:creator>
  <cp:lastModifiedBy>Chanjiawing</cp:lastModifiedBy>
  <dcterms:modified xsi:type="dcterms:W3CDTF">2026-03-23T07:04:49Z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1336DC89B6E64F078E9832478CBFAEA1_13</vt:lpwstr>
  </property>
</Properties>
</file>