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黑体" w:hAnsi="黑体" w:eastAsia="黑体" w:cs="黑体"/>
          <w:b w:val="0"/>
          <w:bCs w:val="0"/>
          <w:kern w:val="2"/>
          <w:sz w:val="36"/>
          <w:szCs w:val="28"/>
          <w:lang w:val="en-US" w:eastAsia="zh-CN" w:bidi="ar-SA"/>
        </w:rPr>
      </w:pPr>
      <w:bookmarkStart w:id="0" w:name="_Hlt164229061"/>
      <w:bookmarkEnd w:id="0"/>
      <w:bookmarkStart w:id="1" w:name="_Toc119489570"/>
      <w:r>
        <w:rPr>
          <w:rFonts w:hint="eastAsia" w:ascii="黑体" w:hAnsi="黑体" w:eastAsia="黑体" w:cs="黑体"/>
          <w:b w:val="0"/>
          <w:bCs w:val="0"/>
          <w:kern w:val="2"/>
          <w:sz w:val="36"/>
          <w:szCs w:val="28"/>
          <w:lang w:val="en-US" w:eastAsia="zh-CN" w:bidi="ar-SA"/>
        </w:rPr>
        <w:t>更年期保健管理系统采购需求</w:t>
      </w:r>
    </w:p>
    <w:p>
      <w:pPr>
        <w:widowControl w:val="0"/>
        <w:spacing w:line="360" w:lineRule="auto"/>
        <w:jc w:val="center"/>
        <w:rPr>
          <w:rFonts w:hint="default" w:ascii="黑体" w:hAnsi="黑体" w:eastAsia="黑体" w:cs="黑体"/>
          <w:b w:val="0"/>
          <w:bCs w:val="0"/>
          <w:kern w:val="2"/>
          <w:sz w:val="36"/>
          <w:szCs w:val="28"/>
          <w:lang w:val="en-US" w:eastAsia="zh-CN" w:bidi="ar-SA"/>
        </w:rPr>
      </w:pPr>
    </w:p>
    <w:bookmarkEnd w:id="1"/>
    <w:p>
      <w:pPr>
        <w:keepNext/>
        <w:keepLines/>
        <w:pageBreakBefore w:val="0"/>
        <w:widowControl w:val="0"/>
        <w:numPr>
          <w:ilvl w:val="0"/>
          <w:numId w:val="1"/>
        </w:numPr>
        <w:kinsoku/>
        <w:wordWrap/>
        <w:overflowPunct/>
        <w:topLinePunct w:val="0"/>
        <w:autoSpaceDE/>
        <w:autoSpaceDN/>
        <w:bidi w:val="0"/>
        <w:adjustRightInd/>
        <w:snapToGrid/>
        <w:spacing w:before="164" w:beforeLines="50" w:line="360" w:lineRule="auto"/>
        <w:ind w:leftChars="0" w:firstLine="200" w:firstLineChars="0"/>
        <w:jc w:val="left"/>
        <w:textAlignment w:val="auto"/>
        <w:outlineLvl w:val="2"/>
        <w:rPr>
          <w:rFonts w:hint="default" w:ascii="Times New Roman Regular" w:hAnsi="Times New Roman Regular" w:eastAsia="宋体" w:cs="Times New Roman Regular"/>
          <w:b/>
          <w:bCs/>
          <w:kern w:val="2"/>
          <w:sz w:val="30"/>
          <w:szCs w:val="30"/>
          <w:lang w:val="en-US" w:eastAsia="zh-CN" w:bidi="ar-SA"/>
        </w:rPr>
      </w:pPr>
      <w:r>
        <w:rPr>
          <w:rFonts w:hint="default" w:ascii="Times New Roman Regular" w:hAnsi="Times New Roman Regular" w:eastAsia="宋体" w:cs="Times New Roman Regular"/>
          <w:b/>
          <w:bCs/>
          <w:kern w:val="2"/>
          <w:sz w:val="30"/>
          <w:szCs w:val="30"/>
          <w:lang w:val="en-US" w:eastAsia="zh-CN" w:bidi="ar-SA"/>
        </w:rPr>
        <w:t>供应商的资格要求</w:t>
      </w:r>
      <w:bookmarkStart w:id="2" w:name="_GoBack"/>
      <w:bookmarkEnd w:id="2"/>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满足《中华人民共和国政府采购法》第二十二条规定；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落实政府采购政策需满足的资格要求：</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本项目专门面向中小企业采购；</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其他落实政府采购政策的资格要求：无。</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本项目的特定资格要求：本项目不接受任何联合体投标。</w:t>
      </w:r>
    </w:p>
    <w:p>
      <w:pPr>
        <w:keepNext/>
        <w:keepLines/>
        <w:pageBreakBefore w:val="0"/>
        <w:widowControl w:val="0"/>
        <w:numPr>
          <w:ilvl w:val="0"/>
          <w:numId w:val="1"/>
        </w:numPr>
        <w:kinsoku/>
        <w:wordWrap/>
        <w:overflowPunct/>
        <w:topLinePunct w:val="0"/>
        <w:autoSpaceDE/>
        <w:autoSpaceDN/>
        <w:bidi w:val="0"/>
        <w:adjustRightInd/>
        <w:snapToGrid/>
        <w:spacing w:before="164" w:beforeLines="50" w:line="360" w:lineRule="auto"/>
        <w:ind w:leftChars="0" w:firstLine="200" w:firstLineChars="0"/>
        <w:jc w:val="left"/>
        <w:textAlignment w:val="auto"/>
        <w:outlineLvl w:val="2"/>
        <w:rPr>
          <w:rFonts w:hint="default" w:ascii="Times New Roman Regular" w:hAnsi="Times New Roman Regular" w:eastAsia="宋体" w:cs="Times New Roman Regular"/>
          <w:b/>
          <w:bCs/>
          <w:kern w:val="2"/>
          <w:sz w:val="30"/>
          <w:szCs w:val="30"/>
          <w:lang w:val="en-US" w:eastAsia="zh-CN" w:bidi="ar-SA"/>
        </w:rPr>
      </w:pPr>
      <w:r>
        <w:rPr>
          <w:rFonts w:hint="default" w:ascii="Times New Roman Regular" w:hAnsi="Times New Roman Regular" w:eastAsia="宋体" w:cs="Times New Roman Regular"/>
          <w:b/>
          <w:bCs/>
          <w:kern w:val="2"/>
          <w:sz w:val="30"/>
          <w:szCs w:val="30"/>
          <w:lang w:val="en-US" w:eastAsia="zh-CN" w:bidi="ar-SA"/>
        </w:rPr>
        <w:t>采购需求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Regular" w:hAnsi="Times New Roman Regular" w:eastAsia="宋体" w:cs="Times New Roman Regular"/>
          <w:b/>
          <w:bCs/>
          <w:sz w:val="24"/>
          <w:szCs w:val="21"/>
          <w:lang w:val="en-US" w:eastAsia="zh-CN"/>
        </w:rPr>
      </w:pPr>
      <w:r>
        <w:rPr>
          <w:rFonts w:hint="default" w:ascii="Times New Roman Regular" w:hAnsi="Times New Roman Regular" w:eastAsia="宋体" w:cs="Times New Roman Regular"/>
          <w:b/>
          <w:bCs/>
          <w:sz w:val="24"/>
          <w:szCs w:val="21"/>
          <w:lang w:val="en-US" w:eastAsia="zh-CN"/>
        </w:rPr>
        <w:t>商务要求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投标报价：</w:t>
      </w:r>
    </w:p>
    <w:p>
      <w:pPr>
        <w:spacing w:line="360" w:lineRule="auto"/>
        <w:ind w:firstLine="480" w:firstLineChars="20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highlight w:val="yellow"/>
          <w:lang w:val="en-US" w:eastAsia="zh-CN"/>
        </w:rPr>
        <w:t xml:space="preserve">本项目预算为 </w:t>
      </w:r>
      <w:r>
        <w:rPr>
          <w:rFonts w:hint="eastAsia" w:ascii="Times New Roman Regular" w:hAnsi="Times New Roman Regular" w:eastAsia="宋体" w:cs="Times New Roman Regular"/>
          <w:sz w:val="24"/>
          <w:szCs w:val="21"/>
          <w:highlight w:val="yellow"/>
          <w:lang w:val="en-US" w:eastAsia="zh-CN"/>
        </w:rPr>
        <w:t>40</w:t>
      </w:r>
      <w:r>
        <w:rPr>
          <w:rFonts w:hint="default" w:ascii="Times New Roman Regular" w:hAnsi="Times New Roman Regular" w:eastAsia="宋体" w:cs="Times New Roman Regular"/>
          <w:sz w:val="24"/>
          <w:szCs w:val="21"/>
          <w:highlight w:val="yellow"/>
          <w:lang w:val="en-US" w:eastAsia="zh-CN"/>
        </w:rPr>
        <w:t xml:space="preserve"> 万元，</w:t>
      </w:r>
      <w:r>
        <w:rPr>
          <w:rFonts w:hint="default" w:ascii="Times New Roman Regular" w:hAnsi="Times New Roman Regular" w:eastAsia="宋体" w:cs="Times New Roman Regular"/>
          <w:sz w:val="24"/>
          <w:szCs w:val="21"/>
          <w:lang w:val="en-US" w:eastAsia="zh-CN"/>
        </w:rPr>
        <w:t>供应商投标报价超过最高限价的为无效投标。供应商投标报价包含本次采购的货物本身价、投标包含的备件、配件报价、货物运输到指定地点的运输费用、保险费用、安装调试费、培训费及各项税金等。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交货地点：</w:t>
      </w:r>
    </w:p>
    <w:p>
      <w:pPr>
        <w:spacing w:line="360" w:lineRule="auto"/>
        <w:ind w:firstLine="480" w:firstLineChars="20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采购人指定地点。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付款方式：</w:t>
      </w:r>
    </w:p>
    <w:p>
      <w:pPr>
        <w:spacing w:line="360" w:lineRule="auto"/>
        <w:ind w:firstLine="480" w:firstLineChars="20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根据合同要求执行。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合同履行期限：</w:t>
      </w:r>
    </w:p>
    <w:p>
      <w:pPr>
        <w:spacing w:line="360" w:lineRule="auto"/>
        <w:ind w:firstLine="480" w:firstLineChars="200"/>
        <w:rPr>
          <w:rFonts w:hint="default" w:ascii="Times New Roman Regular" w:hAnsi="Times New Roman Regular" w:eastAsia="宋体" w:cs="Times New Roman Regular"/>
          <w:sz w:val="24"/>
          <w:szCs w:val="21"/>
          <w:highlight w:val="yellow"/>
          <w:lang w:val="en-US" w:eastAsia="zh-CN"/>
        </w:rPr>
      </w:pPr>
      <w:r>
        <w:rPr>
          <w:rFonts w:hint="default" w:ascii="Times New Roman Regular" w:hAnsi="Times New Roman Regular" w:eastAsia="宋体" w:cs="Times New Roman Regular"/>
          <w:sz w:val="24"/>
          <w:szCs w:val="21"/>
          <w:highlight w:val="yellow"/>
          <w:lang w:val="en-US" w:eastAsia="zh-CN"/>
        </w:rPr>
        <w:t>合同签订后 90 日历天内完成安装、调试及验收。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705" w:leftChars="0" w:hanging="465" w:firstLineChars="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项目验收要求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Regular" w:hAnsi="Times New Roman Regular" w:eastAsia="宋体" w:cs="Times New Roman Regular"/>
          <w:b w:val="0"/>
          <w:bCs w:val="0"/>
          <w:sz w:val="24"/>
          <w:szCs w:val="21"/>
          <w:lang w:val="en-US" w:eastAsia="zh-CN"/>
        </w:rPr>
      </w:pPr>
      <w:r>
        <w:rPr>
          <w:rFonts w:hint="default" w:ascii="Times New Roman Regular" w:hAnsi="Times New Roman Regular" w:eastAsia="宋体" w:cs="Times New Roman Regular"/>
          <w:b w:val="0"/>
          <w:bCs w:val="0"/>
          <w:sz w:val="24"/>
          <w:szCs w:val="21"/>
          <w:lang w:val="en-US" w:eastAsia="zh-CN"/>
        </w:rPr>
        <w:t>项目交付后由采购人依据双方签订的合同订立安排与合同管理安排中有关履约验收的内容，以及招标文件、投标文件组织验收。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Regular" w:hAnsi="Times New Roman Regular" w:eastAsia="宋体" w:cs="Times New Roman Regular"/>
          <w:b/>
          <w:bCs/>
          <w:sz w:val="24"/>
          <w:szCs w:val="21"/>
          <w:lang w:val="en-US" w:eastAsia="zh-CN"/>
        </w:rPr>
      </w:pPr>
      <w:r>
        <w:rPr>
          <w:rFonts w:hint="default" w:ascii="Times New Roman Regular" w:hAnsi="Times New Roman Regular" w:eastAsia="宋体" w:cs="Times New Roman Regular"/>
          <w:b/>
          <w:bCs/>
          <w:sz w:val="24"/>
          <w:szCs w:val="21"/>
          <w:lang w:val="en-US" w:eastAsia="zh-CN"/>
        </w:rPr>
        <w:t>技术要求</w:t>
      </w:r>
    </w:p>
    <w:p>
      <w:pPr>
        <w:spacing w:line="360" w:lineRule="auto"/>
        <w:ind w:firstLine="480" w:firstLineChars="200"/>
        <w:rPr>
          <w:rFonts w:hint="default" w:ascii="Times New Roman Regular" w:hAnsi="Times New Roman Regular" w:eastAsia="宋体" w:cs="Times New Roman Regular"/>
          <w:sz w:val="24"/>
          <w:szCs w:val="21"/>
        </w:rPr>
      </w:pPr>
      <w:r>
        <w:rPr>
          <w:rFonts w:hint="default" w:ascii="Times New Roman Regular" w:hAnsi="Times New Roman Regular" w:eastAsia="宋体" w:cs="Times New Roman Regular"/>
          <w:sz w:val="24"/>
          <w:szCs w:val="21"/>
        </w:rPr>
        <w:t>更年期保健管理系统是专为更年期保健科室设计的数字化管理平台，系统需实现从建档、测评、门诊记录登记、产后随访等全场景无纸化与闭环管理，以有效夯实“妇女健康”基础，为优化诊疗流程，提升患者体验，提供核心技术支撑与关键实施路径。</w:t>
      </w:r>
    </w:p>
    <w:p>
      <w:pPr>
        <w:keepNext/>
        <w:keepLines/>
        <w:widowControl w:val="0"/>
        <w:numPr>
          <w:ilvl w:val="0"/>
          <w:numId w:val="5"/>
        </w:numPr>
        <w:spacing w:line="360" w:lineRule="auto"/>
        <w:ind w:left="208" w:leftChars="99" w:firstLine="0" w:firstLineChars="0"/>
        <w:jc w:val="both"/>
        <w:outlineLvl w:val="3"/>
        <w:rPr>
          <w:rFonts w:hint="default" w:ascii="Times New Roman Regular" w:hAnsi="Times New Roman Regular" w:eastAsia="宋体" w:cs="Times New Roman Regular"/>
          <w:b/>
          <w:bCs/>
          <w:kern w:val="2"/>
          <w:sz w:val="28"/>
          <w:szCs w:val="28"/>
          <w:lang w:val="en-US" w:eastAsia="zh-CN" w:bidi="ar-SA"/>
        </w:rPr>
      </w:pPr>
      <w:r>
        <w:rPr>
          <w:rFonts w:hint="default" w:ascii="Times New Roman Regular" w:hAnsi="Times New Roman Regular" w:eastAsia="宋体" w:cs="Times New Roman Regular"/>
          <w:b/>
          <w:bCs/>
          <w:kern w:val="2"/>
          <w:sz w:val="28"/>
          <w:szCs w:val="28"/>
          <w:lang w:val="en-US" w:eastAsia="zh-CN" w:bidi="ar-SA"/>
        </w:rPr>
        <w:t>采购清单</w:t>
      </w:r>
    </w:p>
    <w:tbl>
      <w:tblPr>
        <w:tblStyle w:val="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4322"/>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36" w:type="dxa"/>
            <w:vAlign w:val="center"/>
          </w:tcPr>
          <w:p>
            <w:pPr>
              <w:snapToGrid w:val="0"/>
              <w:spacing w:line="240" w:lineRule="auto"/>
              <w:ind w:left="0" w:leftChars="0" w:right="0" w:rightChars="0" w:firstLine="0" w:firstLineChars="0"/>
              <w:jc w:val="center"/>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sz w:val="24"/>
                <w:szCs w:val="24"/>
              </w:rPr>
              <w:t>序号</w:t>
            </w:r>
          </w:p>
        </w:tc>
        <w:tc>
          <w:tcPr>
            <w:tcW w:w="4322" w:type="dxa"/>
            <w:vAlign w:val="center"/>
          </w:tcPr>
          <w:p>
            <w:pPr>
              <w:snapToGrid w:val="0"/>
              <w:spacing w:line="240" w:lineRule="auto"/>
              <w:ind w:left="0" w:leftChars="0" w:right="0" w:rightChars="0" w:firstLine="0" w:firstLineChars="0"/>
              <w:jc w:val="center"/>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sz w:val="24"/>
                <w:szCs w:val="24"/>
              </w:rPr>
              <w:t>功能要求</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sz w:val="24"/>
                <w:szCs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患者档案管理</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门诊管理</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shd w:val="clear" w:color="auto" w:fill="auto"/>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智能随访</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shd w:val="clear" w:color="auto" w:fill="auto"/>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统计管理</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shd w:val="clear" w:color="auto" w:fill="auto"/>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系统管理</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系统集成</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widowControl w:val="0"/>
              <w:numPr>
                <w:ilvl w:val="0"/>
                <w:numId w:val="6"/>
              </w:numPr>
              <w:snapToGrid w:val="0"/>
              <w:spacing w:line="240" w:lineRule="auto"/>
              <w:ind w:left="0" w:leftChars="0" w:right="0" w:rightChars="0" w:firstLine="0" w:firstLineChars="0"/>
              <w:jc w:val="center"/>
              <w:rPr>
                <w:rFonts w:hint="default" w:ascii="Times New Roman Regular" w:hAnsi="Times New Roman Regular" w:eastAsia="宋体" w:cs="Times New Roman Regular"/>
                <w:kern w:val="2"/>
                <w:sz w:val="24"/>
                <w:szCs w:val="24"/>
                <w:lang w:val="en-US" w:eastAsia="zh-CN" w:bidi="ar-SA"/>
              </w:rPr>
            </w:pPr>
          </w:p>
        </w:tc>
        <w:tc>
          <w:tcPr>
            <w:tcW w:w="4322"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移动端管理</w:t>
            </w:r>
          </w:p>
        </w:tc>
        <w:tc>
          <w:tcPr>
            <w:tcW w:w="3495" w:type="dxa"/>
            <w:vAlign w:val="center"/>
          </w:tcPr>
          <w:p>
            <w:pPr>
              <w:snapToGrid w:val="0"/>
              <w:spacing w:line="240" w:lineRule="auto"/>
              <w:ind w:left="0" w:leftChars="0" w:right="0" w:rightChars="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1</w:t>
            </w:r>
          </w:p>
        </w:tc>
      </w:tr>
    </w:tbl>
    <w:p>
      <w:pPr>
        <w:keepNext/>
        <w:keepLines/>
        <w:widowControl w:val="0"/>
        <w:numPr>
          <w:ilvl w:val="0"/>
          <w:numId w:val="5"/>
        </w:numPr>
        <w:spacing w:line="360" w:lineRule="auto"/>
        <w:ind w:left="208" w:leftChars="99" w:firstLine="0" w:firstLineChars="0"/>
        <w:jc w:val="both"/>
        <w:outlineLvl w:val="3"/>
        <w:rPr>
          <w:rFonts w:hint="default" w:ascii="Times New Roman Regular" w:hAnsi="Times New Roman Regular" w:eastAsia="宋体" w:cs="Times New Roman Regular"/>
          <w:b/>
          <w:bCs/>
          <w:kern w:val="2"/>
          <w:sz w:val="28"/>
          <w:szCs w:val="28"/>
          <w:lang w:val="en-US" w:eastAsia="zh-CN" w:bidi="ar-SA"/>
        </w:rPr>
      </w:pPr>
      <w:r>
        <w:rPr>
          <w:rFonts w:hint="default" w:ascii="Times New Roman Regular" w:hAnsi="Times New Roman Regular" w:eastAsia="宋体" w:cs="Times New Roman Regular"/>
          <w:b/>
          <w:bCs/>
          <w:kern w:val="2"/>
          <w:sz w:val="28"/>
          <w:szCs w:val="28"/>
          <w:lang w:val="en-US" w:eastAsia="zh-CN" w:bidi="ar-SA"/>
        </w:rPr>
        <w:t>采购功能参数要求</w:t>
      </w:r>
    </w:p>
    <w:tbl>
      <w:tblPr>
        <w:tblStyle w:val="2"/>
        <w:tblW w:w="9117" w:type="dxa"/>
        <w:jc w:val="center"/>
        <w:tblLayout w:type="autofit"/>
        <w:tblCellMar>
          <w:top w:w="0" w:type="dxa"/>
          <w:left w:w="108" w:type="dxa"/>
          <w:bottom w:w="0" w:type="dxa"/>
          <w:right w:w="108" w:type="dxa"/>
        </w:tblCellMar>
      </w:tblPr>
      <w:tblGrid>
        <w:gridCol w:w="741"/>
        <w:gridCol w:w="1041"/>
        <w:gridCol w:w="1559"/>
        <w:gridCol w:w="5776"/>
      </w:tblGrid>
      <w:tr>
        <w:tblPrEx>
          <w:tblCellMar>
            <w:top w:w="0" w:type="dxa"/>
            <w:left w:w="108" w:type="dxa"/>
            <w:bottom w:w="0" w:type="dxa"/>
            <w:right w:w="108" w:type="dxa"/>
          </w:tblCellMar>
        </w:tblPrEx>
        <w:trPr>
          <w:trHeight w:val="0" w:hRule="atLeast"/>
          <w:tblHeader/>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kern w:val="0"/>
                <w:sz w:val="24"/>
                <w:szCs w:val="24"/>
                <w:lang w:bidi="ar"/>
              </w:rPr>
              <w:t>序号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黑体" w:cs="Times New Roman Regular"/>
                <w:b w:val="0"/>
                <w:bCs w:val="0"/>
                <w:kern w:val="0"/>
                <w:sz w:val="24"/>
                <w:szCs w:val="24"/>
                <w:lang w:bidi="ar"/>
              </w:rPr>
            </w:pPr>
            <w:r>
              <w:rPr>
                <w:rFonts w:hint="default" w:ascii="Times New Roman Regular" w:hAnsi="Times New Roman Regular" w:eastAsia="黑体" w:cs="Times New Roman Regular"/>
                <w:b w:val="0"/>
                <w:bCs w:val="0"/>
                <w:kern w:val="0"/>
                <w:sz w:val="24"/>
                <w:szCs w:val="24"/>
                <w:lang w:bidi="ar"/>
              </w:rPr>
              <w:t>功能</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kern w:val="0"/>
                <w:sz w:val="24"/>
                <w:szCs w:val="24"/>
                <w:lang w:bidi="ar"/>
              </w:rPr>
              <w:t>要求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sz w:val="24"/>
                <w:szCs w:val="24"/>
              </w:rPr>
              <w:t>功能模块</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黑体" w:cs="Times New Roman Regular"/>
                <w:b w:val="0"/>
                <w:bCs w:val="0"/>
                <w:sz w:val="24"/>
                <w:szCs w:val="24"/>
              </w:rPr>
            </w:pPr>
            <w:r>
              <w:rPr>
                <w:rFonts w:hint="default" w:ascii="Times New Roman Regular" w:hAnsi="Times New Roman Regular" w:eastAsia="黑体" w:cs="Times New Roman Regular"/>
                <w:b w:val="0"/>
                <w:bCs w:val="0"/>
                <w:sz w:val="24"/>
                <w:szCs w:val="24"/>
              </w:rPr>
              <w:t>技术规格要求</w:t>
            </w:r>
          </w:p>
        </w:tc>
      </w:tr>
      <w:tr>
        <w:tblPrEx>
          <w:tblCellMar>
            <w:top w:w="0" w:type="dxa"/>
            <w:left w:w="108" w:type="dxa"/>
            <w:bottom w:w="0" w:type="dxa"/>
            <w:right w:w="108" w:type="dxa"/>
          </w:tblCellMar>
        </w:tblPrEx>
        <w:trPr>
          <w:trHeight w:val="0" w:hRule="atLeast"/>
          <w:jc w:val="center"/>
        </w:trPr>
        <w:tc>
          <w:tcPr>
            <w:tcW w:w="7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患者建档管理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手动建档</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支持在线表单录入，包含患者基本信息，提供字段合法性校验功能，对必填项、格式错误进行实时提示，支持建档信息预览确认功能，确认后生成唯一患者档案ID</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HIS数据自动建档</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与院内系统进行数据互通，提供实时同步和定时同步（可配置频率）两种建档模式</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档案合并</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支持同一患者多档案识别和合并功能</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合并后保留完整操作日志（操作人、时间、内容）</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档案删除</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支持逻辑删除（保留历史记录）和物理删除两种方式</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删除前提供风险提示和操作确认</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保留完整删除操作日志</w:t>
            </w:r>
          </w:p>
        </w:tc>
      </w:tr>
      <w:tr>
        <w:tblPrEx>
          <w:tblCellMar>
            <w:top w:w="0" w:type="dxa"/>
            <w:left w:w="108" w:type="dxa"/>
            <w:bottom w:w="0" w:type="dxa"/>
            <w:right w:w="108" w:type="dxa"/>
          </w:tblCellMar>
        </w:tblPrEx>
        <w:trPr>
          <w:trHeight w:val="0" w:hRule="atLeast"/>
          <w:jc w:val="center"/>
        </w:trPr>
        <w:tc>
          <w:tcPr>
            <w:tcW w:w="7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门诊</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初诊复诊信息记录</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支持结构化录入和自由文本结合方式</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kern w:val="0"/>
                <w:sz w:val="24"/>
                <w:szCs w:val="24"/>
                <w:lang w:bidi="ar"/>
              </w:rPr>
              <w:t>可获取移动端测评结果并自动导入</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支持同步院内病历信息进行快速填写</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量表测评</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kern w:val="0"/>
                <w:sz w:val="24"/>
                <w:szCs w:val="24"/>
                <w:lang w:bidi="ar"/>
              </w:rPr>
              <w:t>内置量表测评功能，支持更年期保健场景下的常用量表，例如：Kupperman、MENQOL、GAD-7、PHQ-9、AIS、IOF、性生活质量问卷等</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MHT随访</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支持更年期激素治疗（MHT）专项随访，可记录随访测评结果</w:t>
            </w:r>
          </w:p>
        </w:tc>
      </w:tr>
      <w:tr>
        <w:tblPrEx>
          <w:tblCellMar>
            <w:top w:w="0" w:type="dxa"/>
            <w:left w:w="108" w:type="dxa"/>
            <w:bottom w:w="0" w:type="dxa"/>
            <w:right w:w="108" w:type="dxa"/>
          </w:tblCellMar>
        </w:tblPrEx>
        <w:trPr>
          <w:trHeight w:val="0" w:hRule="atLeast"/>
          <w:jc w:val="center"/>
        </w:trPr>
        <w:tc>
          <w:tcPr>
            <w:tcW w:w="7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智能</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随访任务</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支持对心理测评（GAD-7/PHQ-9）异常、MHT治疗等特殊情况进行定期随访，支持多渠道提醒（短信、微信、企微）</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随访方案</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kern w:val="0"/>
                <w:sz w:val="24"/>
                <w:szCs w:val="24"/>
                <w:lang w:bidi="ar"/>
              </w:rPr>
              <w:t>支持根据实际需求自定义随访方案，包括随访任务执行的触发节点、随访内容推送人群、随访推送内容类型</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随访人群</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支持随访人群的配置，便于配置随访方案</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随访问卷</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kern w:val="0"/>
                <w:sz w:val="24"/>
                <w:szCs w:val="24"/>
                <w:lang w:bidi="ar"/>
              </w:rPr>
              <w:t>支持创建自定义随访问卷</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题库管理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支持各类（单选、多选、图片上传、简答）随访问题的添加、修改、删除</w:t>
            </w:r>
          </w:p>
        </w:tc>
      </w:tr>
      <w:tr>
        <w:tblPrEx>
          <w:tblCellMar>
            <w:top w:w="0" w:type="dxa"/>
            <w:left w:w="108" w:type="dxa"/>
            <w:bottom w:w="0" w:type="dxa"/>
            <w:right w:w="108" w:type="dxa"/>
          </w:tblCellMar>
        </w:tblPrEx>
        <w:trPr>
          <w:trHeight w:val="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统计</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统计管理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支持对系统内各类信息进行统计，包括建档信息、复检信息、MHT信息等</w:t>
            </w:r>
          </w:p>
        </w:tc>
      </w:tr>
      <w:tr>
        <w:tblPrEx>
          <w:tblCellMar>
            <w:top w:w="0" w:type="dxa"/>
            <w:left w:w="108" w:type="dxa"/>
            <w:bottom w:w="0" w:type="dxa"/>
            <w:right w:w="108" w:type="dxa"/>
          </w:tblCellMar>
        </w:tblPrEx>
        <w:trPr>
          <w:trHeight w:val="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系统</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配置</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系统配置</w:t>
            </w:r>
          </w:p>
        </w:tc>
        <w:tc>
          <w:tcPr>
            <w:tcW w:w="5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lang w:bidi="ar"/>
              </w:rPr>
            </w:pPr>
            <w:r>
              <w:rPr>
                <w:rFonts w:hint="default" w:ascii="Times New Roman Regular" w:hAnsi="Times New Roman Regular" w:eastAsia="宋体" w:cs="Times New Roman Regular"/>
                <w:color w:val="000000"/>
                <w:sz w:val="24"/>
                <w:szCs w:val="24"/>
                <w:u w:val="none"/>
                <w:lang w:bidi="ar"/>
              </w:rPr>
              <w:t>支持系统用户管理、角色及权限管理、操作日志查询等功能。</w:t>
            </w:r>
          </w:p>
        </w:tc>
      </w:tr>
      <w:tr>
        <w:tblPrEx>
          <w:tblCellMar>
            <w:top w:w="0" w:type="dxa"/>
            <w:left w:w="108" w:type="dxa"/>
            <w:bottom w:w="0" w:type="dxa"/>
            <w:right w:w="108" w:type="dxa"/>
          </w:tblCellMar>
        </w:tblPrEx>
        <w:trPr>
          <w:trHeight w:val="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系统</w:t>
            </w:r>
          </w:p>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集成</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lang w:bidi="ar"/>
              </w:rPr>
              <w:t>具备数据集成与接口</w:t>
            </w:r>
          </w:p>
        </w:tc>
        <w:tc>
          <w:tcPr>
            <w:tcW w:w="5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kern w:val="0"/>
                <w:sz w:val="24"/>
                <w:szCs w:val="24"/>
                <w:lang w:bidi="ar"/>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sz w:val="24"/>
                <w:szCs w:val="24"/>
                <w:u w:val="none"/>
                <w:lang w:bidi="ar"/>
              </w:rPr>
              <w:t>支持与院内第三方业务系统进行对接，包括但不限于HIS、EMR、LIS、PACS等，以实现如单点登录、数据同步等相关功能，费用均包含在投标报价中</w:t>
            </w:r>
          </w:p>
        </w:tc>
      </w:tr>
      <w:tr>
        <w:tblPrEx>
          <w:tblCellMar>
            <w:top w:w="0" w:type="dxa"/>
            <w:left w:w="108" w:type="dxa"/>
            <w:bottom w:w="0" w:type="dxa"/>
            <w:right w:w="108" w:type="dxa"/>
          </w:tblCellMar>
        </w:tblPrEx>
        <w:trPr>
          <w:trHeight w:val="0" w:hRule="atLeast"/>
          <w:jc w:val="center"/>
        </w:trPr>
        <w:tc>
          <w:tcPr>
            <w:tcW w:w="7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移动端</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应用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自助量表</w:t>
            </w:r>
            <w:r>
              <w:rPr>
                <w:rFonts w:hint="default" w:ascii="Times New Roman Regular" w:hAnsi="Times New Roman Regular" w:eastAsia="宋体" w:cs="Times New Roman Regular"/>
                <w:color w:val="000000"/>
                <w:kern w:val="0"/>
                <w:sz w:val="24"/>
                <w:szCs w:val="24"/>
                <w:lang w:bidi="ar"/>
              </w:rPr>
              <w:br w:type="textWrapping"/>
            </w:r>
            <w:r>
              <w:rPr>
                <w:rFonts w:hint="default" w:ascii="Times New Roman Regular" w:hAnsi="Times New Roman Regular" w:eastAsia="宋体" w:cs="Times New Roman Regular"/>
                <w:color w:val="000000"/>
                <w:kern w:val="0"/>
                <w:sz w:val="24"/>
                <w:szCs w:val="24"/>
                <w:lang w:bidi="ar"/>
              </w:rPr>
              <w:t>测评</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rPr>
              <w:t>▲</w:t>
            </w:r>
            <w:r>
              <w:rPr>
                <w:rFonts w:hint="default" w:ascii="Times New Roman Regular" w:hAnsi="Times New Roman Regular" w:eastAsia="宋体" w:cs="Times New Roman Regular"/>
                <w:color w:val="000000"/>
                <w:kern w:val="0"/>
                <w:sz w:val="24"/>
                <w:szCs w:val="24"/>
                <w:lang w:bidi="ar"/>
              </w:rPr>
              <w:t>支持患者在移动端完成所有量表自评</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随访反馈</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患者在移动端接收随访提醒并反馈</w:t>
            </w:r>
          </w:p>
        </w:tc>
      </w:tr>
      <w:tr>
        <w:tblPrEx>
          <w:tblCellMar>
            <w:top w:w="0" w:type="dxa"/>
            <w:left w:w="108" w:type="dxa"/>
            <w:bottom w:w="0" w:type="dxa"/>
            <w:right w:w="108" w:type="dxa"/>
          </w:tblCellMar>
        </w:tblPrEx>
        <w:trPr>
          <w:trHeight w:val="0" w:hRule="atLeast"/>
          <w:jc w:val="center"/>
        </w:trPr>
        <w:tc>
          <w:tcPr>
            <w:tcW w:w="7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default" w:ascii="Times New Roman Regular" w:hAnsi="Times New Roman Regular" w:eastAsia="宋体" w:cs="Times New Roman Regular"/>
                <w:color w:val="000000"/>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Regular" w:hAnsi="Times New Roman Regular" w:eastAsia="宋体" w:cs="Times New Roman Regular"/>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就诊人管理</w:t>
            </w:r>
          </w:p>
        </w:tc>
        <w:tc>
          <w:tcPr>
            <w:tcW w:w="5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支持绑定多个就诊人（最多5个）</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提供就诊人信息编辑功能</w:t>
            </w:r>
          </w:p>
          <w:p>
            <w:pPr>
              <w:keepNext w:val="0"/>
              <w:keepLines/>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400" w:firstLineChars="0"/>
              <w:jc w:val="left"/>
              <w:textAlignment w:val="top"/>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kern w:val="0"/>
                <w:sz w:val="24"/>
                <w:szCs w:val="24"/>
                <w:lang w:bidi="ar"/>
              </w:rPr>
              <w:t>支持就诊人切换管理</w:t>
            </w:r>
          </w:p>
        </w:tc>
      </w:tr>
    </w:tbl>
    <w:p>
      <w:pPr>
        <w:keepNext/>
        <w:keepLines/>
        <w:widowControl w:val="0"/>
        <w:numPr>
          <w:ilvl w:val="0"/>
          <w:numId w:val="5"/>
        </w:numPr>
        <w:spacing w:line="360" w:lineRule="auto"/>
        <w:ind w:left="208" w:leftChars="99" w:firstLine="0" w:firstLineChars="0"/>
        <w:jc w:val="both"/>
        <w:outlineLvl w:val="3"/>
        <w:rPr>
          <w:rFonts w:hint="default" w:ascii="Times New Roman Regular" w:hAnsi="Times New Roman Regular" w:eastAsia="宋体" w:cs="Times New Roman Regular"/>
          <w:b/>
          <w:bCs/>
          <w:kern w:val="2"/>
          <w:sz w:val="28"/>
          <w:szCs w:val="28"/>
          <w:lang w:val="en-US" w:eastAsia="zh-CN" w:bidi="ar-SA"/>
        </w:rPr>
      </w:pPr>
      <w:r>
        <w:rPr>
          <w:rFonts w:hint="default" w:ascii="Times New Roman Regular" w:hAnsi="Times New Roman Regular" w:eastAsia="宋体" w:cs="Times New Roman Regular"/>
          <w:b/>
          <w:bCs/>
          <w:kern w:val="2"/>
          <w:sz w:val="28"/>
          <w:szCs w:val="28"/>
          <w:lang w:val="en-US" w:eastAsia="zh-CN" w:bidi="ar-SA"/>
        </w:rPr>
        <w:t>售后服务基本要求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highlight w:val="yellow"/>
        </w:rPr>
      </w:pPr>
      <w:r>
        <w:rPr>
          <w:rFonts w:hint="default" w:ascii="Times New Roman Regular" w:hAnsi="Times New Roman Regular" w:eastAsia="宋体" w:cs="Times New Roman Regular"/>
          <w:sz w:val="24"/>
          <w:szCs w:val="21"/>
          <w:highlight w:val="yellow"/>
        </w:rPr>
        <w:t>（1）供应商应提供验收合格后一年免费维护。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rPr>
      </w:pPr>
      <w:r>
        <w:rPr>
          <w:rFonts w:hint="default" w:ascii="Times New Roman Regular" w:hAnsi="Times New Roman Regular" w:eastAsia="宋体" w:cs="Times New Roman Regular"/>
          <w:sz w:val="24"/>
          <w:szCs w:val="21"/>
        </w:rPr>
        <w:t>（2）售后服务机构及服务团队构成：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sz w:val="24"/>
          <w:szCs w:val="21"/>
        </w:rPr>
      </w:pPr>
      <w:r>
        <w:rPr>
          <w:rFonts w:hint="default" w:ascii="Times New Roman Regular" w:hAnsi="Times New Roman Regular" w:eastAsia="宋体" w:cs="Times New Roman Regular"/>
          <w:sz w:val="24"/>
          <w:szCs w:val="21"/>
        </w:rPr>
        <w:t>后续技术支持：包括但不限于根据项目要求安排具备相应资质和经验的专业人员从事本项目工作，确保项目实施队伍的稳定。</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rPr>
      </w:pPr>
      <w:r>
        <w:rPr>
          <w:rFonts w:hint="default" w:ascii="Times New Roman Regular" w:hAnsi="Times New Roman Regular" w:eastAsia="宋体" w:cs="Times New Roman Regular"/>
          <w:sz w:val="24"/>
          <w:szCs w:val="21"/>
        </w:rPr>
        <w:t>售后服务响应时间及维护承诺：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sz w:val="24"/>
          <w:szCs w:val="21"/>
        </w:rPr>
      </w:pPr>
      <w:r>
        <w:rPr>
          <w:rFonts w:hint="default" w:ascii="Times New Roman Regular" w:hAnsi="Times New Roman Regular" w:eastAsia="宋体" w:cs="Times New Roman Regular"/>
          <w:sz w:val="24"/>
          <w:szCs w:val="21"/>
        </w:rPr>
        <w:t>维护能力：包括但不限于配置独立服务团队，提供技术服务热线(7*24小时)，负责解答采购人在使用服务中遇到的问题，并及时提出解决问题的建议和操作方法。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rPr>
        <w:t>（4）免费售后服务期外维护收费标准：</w:t>
      </w:r>
      <w:r>
        <w:rPr>
          <w:rFonts w:hint="eastAsia" w:ascii="Times New Roman Regular" w:hAnsi="Times New Roman Regular" w:eastAsia="宋体" w:cs="Times New Roman Regular"/>
          <w:sz w:val="24"/>
          <w:szCs w:val="21"/>
          <w:highlight w:val="yellow"/>
          <w:lang w:eastAsia="zh-CN"/>
        </w:rPr>
        <w:t>每年按合同价格的</w:t>
      </w:r>
      <w:r>
        <w:rPr>
          <w:rFonts w:hint="eastAsia" w:ascii="Times New Roman Regular" w:hAnsi="Times New Roman Regular" w:eastAsia="宋体" w:cs="Times New Roman Regular"/>
          <w:sz w:val="24"/>
          <w:szCs w:val="21"/>
          <w:highlight w:val="yellow"/>
          <w:lang w:val="en-US" w:eastAsia="zh-CN"/>
        </w:rPr>
        <w:t>6%做为维保费用</w:t>
      </w:r>
    </w:p>
    <w:p>
      <w:pPr>
        <w:keepNext/>
        <w:keepLines/>
        <w:widowControl w:val="0"/>
        <w:numPr>
          <w:ilvl w:val="0"/>
          <w:numId w:val="5"/>
        </w:numPr>
        <w:spacing w:line="360" w:lineRule="auto"/>
        <w:ind w:left="208" w:leftChars="99" w:firstLine="0" w:firstLineChars="0"/>
        <w:jc w:val="both"/>
        <w:outlineLvl w:val="3"/>
        <w:rPr>
          <w:rFonts w:hint="default" w:ascii="Times New Roman Regular" w:hAnsi="Times New Roman Regular" w:eastAsia="宋体" w:cs="Times New Roman Regular"/>
          <w:b/>
          <w:bCs/>
          <w:kern w:val="2"/>
          <w:sz w:val="28"/>
          <w:szCs w:val="28"/>
          <w:lang w:val="en-US" w:eastAsia="zh-CN" w:bidi="ar-SA"/>
        </w:rPr>
      </w:pPr>
      <w:r>
        <w:rPr>
          <w:rFonts w:hint="default" w:ascii="Times New Roman Regular" w:hAnsi="Times New Roman Regular" w:eastAsia="宋体" w:cs="Times New Roman Regular"/>
          <w:b/>
          <w:bCs/>
          <w:kern w:val="2"/>
          <w:sz w:val="28"/>
          <w:szCs w:val="28"/>
          <w:lang w:val="en-US" w:eastAsia="zh-CN" w:bidi="ar-SA"/>
        </w:rPr>
        <w:t>培训要求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highlight w:val="none"/>
        </w:rPr>
      </w:pPr>
      <w:r>
        <w:rPr>
          <w:rFonts w:hint="default" w:ascii="Times New Roman Regular" w:hAnsi="Times New Roman Regular" w:eastAsia="宋体" w:cs="Times New Roman Regular"/>
          <w:sz w:val="24"/>
          <w:szCs w:val="21"/>
          <w:highlight w:val="none"/>
        </w:rPr>
        <w:t>（1）在安装调试完成后，中标供应商负责培训采购人相关工作人员能熟练、准确地使用、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highlight w:val="none"/>
        </w:rPr>
      </w:pPr>
      <w:r>
        <w:rPr>
          <w:rFonts w:hint="default" w:ascii="Times New Roman Regular" w:hAnsi="Times New Roman Regular" w:eastAsia="宋体" w:cs="Times New Roman Regular"/>
          <w:sz w:val="24"/>
          <w:szCs w:val="21"/>
          <w:highlight w:val="none"/>
        </w:rPr>
        <w:t>管理、维护该平台，并能根据业务或信息需求变动自行进行平台的操作。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textAlignment w:val="auto"/>
        <w:rPr>
          <w:rFonts w:hint="default" w:ascii="Times New Roman Regular" w:hAnsi="Times New Roman Regular" w:eastAsia="宋体" w:cs="Times New Roman Regular"/>
          <w:sz w:val="24"/>
          <w:szCs w:val="21"/>
          <w:highlight w:val="none"/>
        </w:rPr>
      </w:pPr>
      <w:r>
        <w:rPr>
          <w:rFonts w:hint="default" w:ascii="Times New Roman Regular" w:hAnsi="Times New Roman Regular" w:eastAsia="宋体" w:cs="Times New Roman Regular"/>
          <w:sz w:val="24"/>
          <w:szCs w:val="21"/>
          <w:highlight w:val="none"/>
        </w:rPr>
        <w:t>中标供应商应派相关专业人员进行培训。</w:t>
      </w:r>
    </w:p>
    <w:p>
      <w:pPr>
        <w:keepNext/>
        <w:keepLines/>
        <w:widowControl w:val="0"/>
        <w:numPr>
          <w:ilvl w:val="0"/>
          <w:numId w:val="5"/>
        </w:numPr>
        <w:spacing w:line="360" w:lineRule="auto"/>
        <w:ind w:left="208" w:leftChars="99" w:firstLine="0" w:firstLineChars="0"/>
        <w:jc w:val="both"/>
        <w:outlineLvl w:val="3"/>
        <w:rPr>
          <w:rFonts w:hint="default" w:ascii="Times New Roman Regular" w:hAnsi="Times New Roman Regular" w:eastAsia="宋体" w:cs="Times New Roman Regular"/>
          <w:b/>
          <w:bCs/>
          <w:kern w:val="2"/>
          <w:sz w:val="28"/>
          <w:szCs w:val="28"/>
          <w:lang w:val="en-US" w:eastAsia="zh-CN" w:bidi="ar-SA"/>
        </w:rPr>
      </w:pPr>
      <w:r>
        <w:rPr>
          <w:rFonts w:hint="default" w:ascii="Times New Roman Regular" w:hAnsi="Times New Roman Regular" w:eastAsia="宋体" w:cs="Times New Roman Regular"/>
          <w:b/>
          <w:bCs/>
          <w:kern w:val="2"/>
          <w:sz w:val="28"/>
          <w:szCs w:val="28"/>
          <w:lang w:val="en-US" w:eastAsia="zh-CN" w:bidi="ar-SA"/>
        </w:rPr>
        <w:t>保密责任</w:t>
      </w:r>
    </w:p>
    <w:p>
      <w:pPr>
        <w:spacing w:line="360" w:lineRule="auto"/>
        <w:ind w:left="0" w:leftChars="0" w:firstLine="0" w:firstLineChars="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1）中标人应对项目实施、运维全过程中知悉的患者隐私、医疗数据、医院业务信息、技术文档等涉密信息承担严格保密义务，遵守《个人信息保护法》《数据安全法》《医疗卫生机构网络安全管理办法》等规定。</w:t>
      </w:r>
    </w:p>
    <w:p>
      <w:pPr>
        <w:spacing w:line="360" w:lineRule="auto"/>
        <w:ind w:left="0" w:leftChars="0" w:firstLine="0" w:firstLineChars="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（2）未经医院书面许可，不得泄露、复制、传播、篡改、删除或用于本项目以外任何用途，不得向任何第三方提供。</w:t>
      </w:r>
    </w:p>
    <w:p>
      <w:pPr>
        <w:spacing w:line="360" w:lineRule="auto"/>
        <w:ind w:left="0" w:leftChars="0" w:firstLine="0" w:firstLineChars="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（3）中标人应约束其员工、分包方同等履行保密义务，并承担连带责任。</w:t>
      </w:r>
    </w:p>
    <w:p>
      <w:pPr>
        <w:spacing w:line="360" w:lineRule="auto"/>
        <w:ind w:left="0" w:leftChars="0" w:firstLine="0" w:firstLineChars="0"/>
        <w:rPr>
          <w:rFonts w:hint="default" w:ascii="Times New Roman Regular" w:hAnsi="Times New Roman Regular" w:eastAsia="宋体" w:cs="Times New Roman Regular"/>
          <w:sz w:val="24"/>
          <w:szCs w:val="21"/>
          <w:lang w:val="en-US" w:eastAsia="zh-CN"/>
        </w:rPr>
      </w:pPr>
      <w:r>
        <w:rPr>
          <w:rFonts w:hint="default" w:ascii="Times New Roman Regular" w:hAnsi="Times New Roman Regular" w:eastAsia="宋体" w:cs="Times New Roman Regular"/>
          <w:sz w:val="24"/>
          <w:szCs w:val="21"/>
          <w:lang w:val="en-US" w:eastAsia="zh-CN"/>
        </w:rPr>
        <w:t>（4）保密义务长期有效，不因合同终止、解除而失效。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FCEF"/>
    <w:multiLevelType w:val="multilevel"/>
    <w:tmpl w:val="9EF3FCEF"/>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18E3632"/>
    <w:multiLevelType w:val="singleLevel"/>
    <w:tmpl w:val="C18E3632"/>
    <w:lvl w:ilvl="0" w:tentative="0">
      <w:start w:val="1"/>
      <w:numFmt w:val="chineseCounting"/>
      <w:suff w:val="nothing"/>
      <w:lvlText w:val="%1、"/>
      <w:lvlJc w:val="left"/>
      <w:rPr>
        <w:rFonts w:hint="eastAsia"/>
      </w:rPr>
    </w:lvl>
  </w:abstractNum>
  <w:abstractNum w:abstractNumId="2">
    <w:nsid w:val="FF5F8E66"/>
    <w:multiLevelType w:val="singleLevel"/>
    <w:tmpl w:val="FF5F8E66"/>
    <w:lvl w:ilvl="0" w:tentative="0">
      <w:start w:val="1"/>
      <w:numFmt w:val="decimal"/>
      <w:suff w:val="nothing"/>
      <w:lvlText w:val="%1．"/>
      <w:lvlJc w:val="left"/>
      <w:pPr>
        <w:ind w:left="0" w:firstLine="400"/>
      </w:pPr>
      <w:rPr>
        <w:rFonts w:hint="default"/>
      </w:rPr>
    </w:lvl>
  </w:abstractNum>
  <w:abstractNum w:abstractNumId="3">
    <w:nsid w:val="FFD6E9ED"/>
    <w:multiLevelType w:val="singleLevel"/>
    <w:tmpl w:val="FFD6E9ED"/>
    <w:lvl w:ilvl="0" w:tentative="0">
      <w:start w:val="1"/>
      <w:numFmt w:val="decimal"/>
      <w:lvlText w:val="%1."/>
      <w:lvlJc w:val="left"/>
      <w:pPr>
        <w:ind w:left="425" w:hanging="425"/>
      </w:pPr>
      <w:rPr>
        <w:rFonts w:hint="default"/>
      </w:rPr>
    </w:lvl>
  </w:abstractNum>
  <w:abstractNum w:abstractNumId="4">
    <w:nsid w:val="1B284E1B"/>
    <w:multiLevelType w:val="singleLevel"/>
    <w:tmpl w:val="1B284E1B"/>
    <w:lvl w:ilvl="0" w:tentative="0">
      <w:start w:val="2"/>
      <w:numFmt w:val="decimal"/>
      <w:suff w:val="nothing"/>
      <w:lvlText w:val="（%1）"/>
      <w:lvlJc w:val="left"/>
    </w:lvl>
  </w:abstractNum>
  <w:abstractNum w:abstractNumId="5">
    <w:nsid w:val="2470913C"/>
    <w:multiLevelType w:val="singleLevel"/>
    <w:tmpl w:val="2470913C"/>
    <w:lvl w:ilvl="0" w:tentative="0">
      <w:start w:val="1"/>
      <w:numFmt w:val="chineseCounting"/>
      <w:suff w:val="nothing"/>
      <w:lvlText w:val="（%1）"/>
      <w:lvlJc w:val="left"/>
      <w:rPr>
        <w:rFonts w:hint="eastAsia"/>
      </w:rPr>
    </w:lvl>
  </w:abstractNum>
  <w:abstractNum w:abstractNumId="6">
    <w:nsid w:val="286E34C5"/>
    <w:multiLevelType w:val="singleLevel"/>
    <w:tmpl w:val="286E34C5"/>
    <w:lvl w:ilvl="0" w:tentative="0">
      <w:start w:val="3"/>
      <w:numFmt w:val="decimal"/>
      <w:suff w:val="nothing"/>
      <w:lvlText w:val="（%1）"/>
      <w:lvlJc w:val="left"/>
    </w:lvl>
  </w:abstractNum>
  <w:abstractNum w:abstractNumId="7">
    <w:nsid w:val="2940084B"/>
    <w:multiLevelType w:val="multilevel"/>
    <w:tmpl w:val="2940084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2F517F36"/>
    <w:multiLevelType w:val="multilevel"/>
    <w:tmpl w:val="2F517F3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F56C111"/>
    <w:multiLevelType w:val="singleLevel"/>
    <w:tmpl w:val="7F56C111"/>
    <w:lvl w:ilvl="0" w:tentative="0">
      <w:start w:val="1"/>
      <w:numFmt w:val="decimal"/>
      <w:suff w:val="nothing"/>
      <w:lvlText w:val="%1．"/>
      <w:lvlJc w:val="left"/>
      <w:pPr>
        <w:ind w:left="0" w:firstLine="400"/>
      </w:pPr>
      <w:rPr>
        <w:rFonts w:hint="default"/>
      </w:rPr>
    </w:lvl>
  </w:abstractNum>
  <w:num w:numId="1">
    <w:abstractNumId w:val="1"/>
  </w:num>
  <w:num w:numId="2">
    <w:abstractNumId w:val="7"/>
  </w:num>
  <w:num w:numId="3">
    <w:abstractNumId w:val="5"/>
  </w:num>
  <w:num w:numId="4">
    <w:abstractNumId w:val="0"/>
  </w:num>
  <w:num w:numId="5">
    <w:abstractNumId w:val="9"/>
  </w:num>
  <w:num w:numId="6">
    <w:abstractNumId w:val="8"/>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4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1844</Words>
  <Characters>1906</Characters>
  <Lines>0</Lines>
  <Paragraphs>0</Paragraphs>
  <TotalTime>0</TotalTime>
  <ScaleCrop>false</ScaleCrop>
  <LinksUpToDate>false</LinksUpToDate>
  <CharactersWithSpaces>1910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2026-04-09T08:59:04Z</dcterms:created>
  <dc:creator>dnzx</dc:creator>
  <cp:lastModifiedBy>覃建昌</cp:lastModifiedBy>
  <dcterms:modified xsi:type="dcterms:W3CDTF">2026-04-09T08:59:31Z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84B5B20AFB6A42349932316AAE04766D</vt:lpwstr>
  </property>
</Properties>
</file>