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93" w:tblpY="2634"/>
        <w:tblOverlap w:val="never"/>
        <w:tblW w:w="64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229"/>
        <w:gridCol w:w="6289"/>
        <w:gridCol w:w="705"/>
        <w:gridCol w:w="788"/>
        <w:gridCol w:w="937"/>
      </w:tblGrid>
      <w:tr w14:paraId="3992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6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5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b/>
                <w:sz w:val="18"/>
                <w:szCs w:val="18"/>
              </w:rPr>
              <w:t>评分板块</w:t>
            </w:r>
          </w:p>
        </w:tc>
        <w:tc>
          <w:tcPr>
            <w:tcW w:w="56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b/>
                <w:sz w:val="18"/>
                <w:szCs w:val="18"/>
              </w:rPr>
              <w:t>分项</w:t>
            </w:r>
          </w:p>
        </w:tc>
        <w:tc>
          <w:tcPr>
            <w:tcW w:w="2864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F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b/>
                <w:sz w:val="18"/>
                <w:szCs w:val="18"/>
              </w:rPr>
              <w:t>评分规则</w:t>
            </w:r>
          </w:p>
        </w:tc>
        <w:tc>
          <w:tcPr>
            <w:tcW w:w="3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D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黑体" w:hAnsi="宋体" w:eastAsia="黑体" w:cs="黑体"/>
                <w:b/>
                <w:sz w:val="18"/>
                <w:szCs w:val="18"/>
              </w:rPr>
              <w:t>分值</w:t>
            </w:r>
          </w:p>
        </w:tc>
        <w:tc>
          <w:tcPr>
            <w:tcW w:w="78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B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自评情况</w:t>
            </w:r>
          </w:p>
        </w:tc>
      </w:tr>
      <w:tr w14:paraId="0FEE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0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</w:p>
        </w:tc>
        <w:tc>
          <w:tcPr>
            <w:tcW w:w="56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5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</w:p>
        </w:tc>
        <w:tc>
          <w:tcPr>
            <w:tcW w:w="2864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3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</w:p>
        </w:tc>
        <w:tc>
          <w:tcPr>
            <w:tcW w:w="3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E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3D45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自评分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A7DE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佐证材料对应页码</w:t>
            </w:r>
          </w:p>
        </w:tc>
      </w:tr>
      <w:tr w14:paraId="6A64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46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D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商务部分（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宋体" w:hAnsi="宋体" w:eastAsia="宋体" w:cs="宋体"/>
                <w:sz w:val="18"/>
                <w:szCs w:val="18"/>
              </w:rPr>
              <w:t>分）</w:t>
            </w: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8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企业业绩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E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近3年（2023年3月至今）有医院、学校等公共机构饮水服务项目业绩，每提供1项得2分，妇幼保健院类业绩每项加3分（需提供合同、验收证明等），最高10分（其中妇幼保健院类业绩得分不超6分）。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7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2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C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63C2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46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1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6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人员组成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C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横向对比项目服务团队配置，按合理性、专业齐备性（安装、水质检测等相关资质）、人员素质（持证上岗、从业年限）综合评分，最高20分；无资质证明酌情扣分，无专业团队不得分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5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20分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F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6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2473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46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A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技术部分（40分）</w:t>
            </w: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03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产品方案-参数契合度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7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所投设备、管材参数与招标文件完全契合得10分；核心参数偏离每项扣5分，非核心参数偏离每项扣2分，扣完为止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3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7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7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7320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46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9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7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产品方案-产品优化方案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A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针对儿童使用场景的安全防护、水质提升、节能降耗等优化方案科学合理、具实用性的最高得10分，方案不合理酌情扣分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9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3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79C2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46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A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6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服务方案-安装方案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1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分楼层安装计划科学、工序顺畅，贴合医院施工要求，水路布局合理得5分，方案不合理酌情扣分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5分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C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2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60A9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6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4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6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服务方案-运维服务方案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F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按楼层制定的巡检、保养、滤芯更换等流程规范、频次达标，服务台账分类完善得5分，流程不规范酌情扣分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C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5分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6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44AB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46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9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C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服务方案-故障响应方案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9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报修机制、分楼层故障处理流程、备用设备保障方案完善，符合30分钟响应、4小时解决设备故障、2小时解决水路故障要求得5分，方案不完善酌情扣分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2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5分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0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B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568A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6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B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8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服务方案-应急预案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9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针对设备故障、水质异常、管材渗漏等情况的应急预案完善、可操作性强得5分，未制定不得分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F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5分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E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8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  <w:tr w14:paraId="5EE3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8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价格部分</w:t>
            </w:r>
          </w:p>
          <w:p w14:paraId="5A32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（30分）</w:t>
            </w: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F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报价</w:t>
            </w:r>
          </w:p>
        </w:tc>
        <w:tc>
          <w:tcPr>
            <w:tcW w:w="28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2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投标报价得分=（评标基准价/投标报价）×价格分值；评标基准价为满足招标文件要求且投标价格最低的投标报价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0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30分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0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E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D08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89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9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E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100分</w:t>
            </w:r>
          </w:p>
        </w:tc>
        <w:tc>
          <w:tcPr>
            <w:tcW w:w="3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C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D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 w14:paraId="02D0BF65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江门市妇幼保健院儿童健康大楼12-15层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饮水机</w:t>
      </w:r>
    </w:p>
    <w:p w14:paraId="41BC7214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租赁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项目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（HQ2026003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）评分标准</w:t>
      </w:r>
    </w:p>
    <w:p w14:paraId="0D6FEECF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769B22BF">
      <w:pPr>
        <w:jc w:val="center"/>
      </w:pPr>
    </w:p>
    <w:p w14:paraId="0BD954C5"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414F2"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专家签名：</w:t>
    </w:r>
    <w:r>
      <w:rPr>
        <w:rFonts w:hint="eastAsia"/>
        <w:lang w:val="en-US" w:eastAsia="zh-CN"/>
      </w:rPr>
      <w:t xml:space="preserve">                                     </w:t>
    </w:r>
    <w:r>
      <w:rPr>
        <w:rFonts w:hint="eastAsia"/>
        <w:lang w:eastAsia="zh-CN"/>
      </w:rPr>
      <w:t>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07EA">
    <w:pPr>
      <w:pStyle w:val="3"/>
      <w:pBdr>
        <w:bottom w:val="none" w:color="auto" w:sz="0" w:space="1"/>
      </w:pBdr>
      <w:spacing w:line="520" w:lineRule="exact"/>
      <w:jc w:val="center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  <w:p w14:paraId="0DB2A15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1A4"/>
    <w:rsid w:val="20423642"/>
    <w:rsid w:val="2ACD0453"/>
    <w:rsid w:val="34F11F60"/>
    <w:rsid w:val="698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716</Characters>
  <Lines>0</Lines>
  <Paragraphs>0</Paragraphs>
  <TotalTime>1</TotalTime>
  <ScaleCrop>false</ScaleCrop>
  <LinksUpToDate>false</LinksUpToDate>
  <CharactersWithSpaces>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2026-03-16T10:12:00Z</dcterms:created>
  <dc:creator>Administrator</dc:creator>
  <cp:lastModifiedBy>  </cp:lastModifiedBy>
  <dcterms:modified xsi:type="dcterms:W3CDTF">2026-03-20T00:27:55Z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eyJoZGlkIjoiNjI4MGFhMzNkNWViMDFkODMyYzBmYmY3MjUyOWZjODUiLCJ1c2VySWQiOiIzNzE4MDk3NDIifQ==</vt:lpwstr>
  </property>
  <property fmtid="{D5CDD505-2E9C-101B-9397-08002B2CF9AE}" pid="4" name="ICV">
    <vt:lpwstr>C8A8B29BFC834D6BBE8D27CED6AB717C_12</vt:lpwstr>
  </property>
</Properties>
</file>