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F5F3B">
      <w:pPr>
        <w:spacing w:line="360" w:lineRule="auto"/>
        <w:jc w:val="center"/>
      </w:pPr>
      <w:bookmarkStart w:id="0" w:name="_GoBack"/>
      <w:bookmarkEnd w:id="0"/>
      <w:r>
        <w:rPr>
          <w:b/>
          <w:sz w:val="36"/>
        </w:rPr>
        <w:t>采购需求</w:t>
      </w:r>
    </w:p>
    <w:p w14:paraId="5E277DD8">
      <w:pPr>
        <w:spacing w:line="360" w:lineRule="auto"/>
        <w:rPr>
          <w:b/>
          <w:sz w:val="28"/>
        </w:rPr>
      </w:pPr>
      <w:r>
        <w:rPr>
          <w:b/>
          <w:sz w:val="28"/>
        </w:rPr>
        <w:t>一、项目概况：</w:t>
      </w:r>
    </w:p>
    <w:p w14:paraId="1A773343">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094A9E5A">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140F5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66E032BC">
            <w:pPr>
              <w:spacing w:line="360" w:lineRule="auto"/>
              <w:jc w:val="center"/>
            </w:pPr>
            <w:r>
              <w:rPr>
                <w:rFonts w:hint="eastAsia"/>
              </w:rPr>
              <w:t>项目编号</w:t>
            </w:r>
          </w:p>
        </w:tc>
        <w:tc>
          <w:tcPr>
            <w:tcW w:w="1701" w:type="dxa"/>
            <w:vAlign w:val="center"/>
          </w:tcPr>
          <w:p w14:paraId="66032C74">
            <w:pPr>
              <w:spacing w:line="360" w:lineRule="auto"/>
              <w:jc w:val="center"/>
            </w:pPr>
            <w:r>
              <w:rPr>
                <w:rFonts w:hint="eastAsia"/>
              </w:rPr>
              <w:t>项目</w:t>
            </w:r>
            <w:r>
              <w:t>名称</w:t>
            </w:r>
          </w:p>
        </w:tc>
        <w:tc>
          <w:tcPr>
            <w:tcW w:w="1077" w:type="dxa"/>
            <w:vAlign w:val="center"/>
          </w:tcPr>
          <w:p w14:paraId="3A0CAE2C">
            <w:pPr>
              <w:spacing w:line="360" w:lineRule="auto"/>
              <w:jc w:val="center"/>
            </w:pPr>
            <w:r>
              <w:t>单位</w:t>
            </w:r>
          </w:p>
        </w:tc>
        <w:tc>
          <w:tcPr>
            <w:tcW w:w="1077" w:type="dxa"/>
            <w:vAlign w:val="center"/>
          </w:tcPr>
          <w:p w14:paraId="58371261">
            <w:pPr>
              <w:spacing w:line="360" w:lineRule="auto"/>
              <w:jc w:val="center"/>
            </w:pPr>
            <w:r>
              <w:t>数量</w:t>
            </w:r>
          </w:p>
        </w:tc>
        <w:tc>
          <w:tcPr>
            <w:tcW w:w="1077" w:type="dxa"/>
            <w:vAlign w:val="center"/>
          </w:tcPr>
          <w:p w14:paraId="6B37C551">
            <w:pPr>
              <w:spacing w:line="360" w:lineRule="auto"/>
              <w:jc w:val="center"/>
            </w:pPr>
            <w:r>
              <w:t>预算单价（</w:t>
            </w:r>
            <w:r>
              <w:rPr>
                <w:rFonts w:hint="eastAsia"/>
              </w:rPr>
              <w:t>万</w:t>
            </w:r>
            <w:r>
              <w:t>元）</w:t>
            </w:r>
          </w:p>
        </w:tc>
        <w:tc>
          <w:tcPr>
            <w:tcW w:w="1077" w:type="dxa"/>
            <w:vAlign w:val="center"/>
          </w:tcPr>
          <w:p w14:paraId="754DDBB1">
            <w:pPr>
              <w:spacing w:line="360" w:lineRule="auto"/>
              <w:jc w:val="center"/>
            </w:pPr>
            <w:r>
              <w:t>预算总价（</w:t>
            </w:r>
            <w:r>
              <w:rPr>
                <w:rFonts w:hint="eastAsia"/>
              </w:rPr>
              <w:t>万</w:t>
            </w:r>
            <w:r>
              <w:t>元）</w:t>
            </w:r>
          </w:p>
        </w:tc>
        <w:tc>
          <w:tcPr>
            <w:tcW w:w="1134" w:type="dxa"/>
            <w:vAlign w:val="center"/>
          </w:tcPr>
          <w:p w14:paraId="4B2BAD20">
            <w:pPr>
              <w:spacing w:line="360" w:lineRule="auto"/>
              <w:jc w:val="center"/>
              <w:rPr>
                <w:b/>
              </w:rPr>
            </w:pPr>
            <w:r>
              <w:rPr>
                <w:b/>
              </w:rPr>
              <w:t>技术要求</w:t>
            </w:r>
          </w:p>
        </w:tc>
      </w:tr>
      <w:tr w14:paraId="034B3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76BCDDC0">
            <w:pPr>
              <w:jc w:val="center"/>
            </w:pPr>
          </w:p>
        </w:tc>
        <w:tc>
          <w:tcPr>
            <w:tcW w:w="1701" w:type="dxa"/>
            <w:vAlign w:val="center"/>
          </w:tcPr>
          <w:p w14:paraId="7166D431">
            <w:pPr>
              <w:jc w:val="center"/>
              <w:rPr>
                <w:rFonts w:hint="default" w:eastAsiaTheme="minorEastAsia"/>
                <w:lang w:val="en-US" w:eastAsia="zh-CN"/>
              </w:rPr>
            </w:pPr>
            <w:r>
              <w:rPr>
                <w:rFonts w:hint="eastAsia"/>
                <w:lang w:val="en-US" w:eastAsia="zh-CN"/>
              </w:rPr>
              <w:t>粪便分析仪</w:t>
            </w:r>
          </w:p>
        </w:tc>
        <w:tc>
          <w:tcPr>
            <w:tcW w:w="1077" w:type="dxa"/>
            <w:vAlign w:val="center"/>
          </w:tcPr>
          <w:p w14:paraId="2A03CC14">
            <w:pPr>
              <w:jc w:val="center"/>
            </w:pPr>
            <w:r>
              <w:rPr>
                <w:rFonts w:hint="eastAsia"/>
              </w:rPr>
              <w:t>台</w:t>
            </w:r>
          </w:p>
        </w:tc>
        <w:tc>
          <w:tcPr>
            <w:tcW w:w="1077" w:type="dxa"/>
            <w:vAlign w:val="center"/>
          </w:tcPr>
          <w:p w14:paraId="6981A98D">
            <w:pPr>
              <w:jc w:val="center"/>
              <w:rPr>
                <w:rFonts w:hint="eastAsia" w:eastAsiaTheme="minorEastAsia"/>
                <w:lang w:eastAsia="zh-CN"/>
              </w:rPr>
            </w:pPr>
            <w:r>
              <w:rPr>
                <w:rFonts w:hint="eastAsia"/>
                <w:lang w:val="en-US" w:eastAsia="zh-CN"/>
              </w:rPr>
              <w:t>2</w:t>
            </w:r>
          </w:p>
        </w:tc>
        <w:tc>
          <w:tcPr>
            <w:tcW w:w="1077" w:type="dxa"/>
            <w:vAlign w:val="center"/>
          </w:tcPr>
          <w:p w14:paraId="3412CEE1">
            <w:pPr>
              <w:jc w:val="center"/>
              <w:rPr>
                <w:rFonts w:hint="default" w:eastAsiaTheme="minorEastAsia"/>
                <w:lang w:val="en-US" w:eastAsia="zh-CN"/>
              </w:rPr>
            </w:pPr>
            <w:r>
              <w:rPr>
                <w:rFonts w:hint="eastAsia"/>
                <w:lang w:val="en-US" w:eastAsia="zh-CN"/>
              </w:rPr>
              <w:t>0.25</w:t>
            </w:r>
          </w:p>
        </w:tc>
        <w:tc>
          <w:tcPr>
            <w:tcW w:w="1077" w:type="dxa"/>
            <w:vAlign w:val="center"/>
          </w:tcPr>
          <w:p w14:paraId="4507A23A">
            <w:pPr>
              <w:jc w:val="center"/>
              <w:rPr>
                <w:rFonts w:hint="default" w:eastAsiaTheme="minorEastAsia"/>
                <w:lang w:val="en-US" w:eastAsia="zh-CN"/>
              </w:rPr>
            </w:pPr>
            <w:r>
              <w:rPr>
                <w:rFonts w:hint="eastAsia"/>
                <w:lang w:val="en-US" w:eastAsia="zh-CN"/>
              </w:rPr>
              <w:t>0.5</w:t>
            </w:r>
          </w:p>
        </w:tc>
        <w:tc>
          <w:tcPr>
            <w:tcW w:w="1134" w:type="dxa"/>
            <w:vAlign w:val="center"/>
          </w:tcPr>
          <w:p w14:paraId="6D0C88D9">
            <w:pPr>
              <w:jc w:val="center"/>
            </w:pPr>
            <w:r>
              <w:rPr>
                <w:rFonts w:hint="eastAsia"/>
              </w:rPr>
              <w:t>详见附表一</w:t>
            </w:r>
          </w:p>
        </w:tc>
      </w:tr>
    </w:tbl>
    <w:p w14:paraId="0680DA12">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4D721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BF76F7F">
            <w:r>
              <w:t>参数性质</w:t>
            </w:r>
          </w:p>
        </w:tc>
        <w:tc>
          <w:tcPr>
            <w:tcW w:w="486" w:type="dxa"/>
          </w:tcPr>
          <w:p w14:paraId="013D5719">
            <w:r>
              <w:t>序号</w:t>
            </w:r>
          </w:p>
        </w:tc>
        <w:tc>
          <w:tcPr>
            <w:tcW w:w="7500" w:type="dxa"/>
            <w:vAlign w:val="center"/>
          </w:tcPr>
          <w:p w14:paraId="08C96970">
            <w:pPr>
              <w:jc w:val="center"/>
            </w:pPr>
            <w:r>
              <w:t>具体技术(参数)要求</w:t>
            </w:r>
          </w:p>
        </w:tc>
      </w:tr>
      <w:tr w14:paraId="7ED28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2A98858"/>
        </w:tc>
        <w:tc>
          <w:tcPr>
            <w:tcW w:w="486" w:type="dxa"/>
          </w:tcPr>
          <w:p w14:paraId="4914602C">
            <w:r>
              <w:rPr>
                <w:rFonts w:hint="eastAsia"/>
              </w:rPr>
              <w:t>1</w:t>
            </w:r>
          </w:p>
        </w:tc>
        <w:tc>
          <w:tcPr>
            <w:tcW w:w="7500" w:type="dxa"/>
          </w:tcPr>
          <w:tbl>
            <w:tblPr>
              <w:tblStyle w:val="9"/>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794"/>
              <w:gridCol w:w="6520"/>
            </w:tblGrid>
            <w:tr w14:paraId="1C68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shd w:val="clear" w:color="auto" w:fill="FDE9D9" w:themeFill="accent6" w:themeFillTint="33"/>
                  <w:vAlign w:val="center"/>
                </w:tcPr>
                <w:p w14:paraId="06F95203">
                  <w:pPr>
                    <w:spacing w:line="360" w:lineRule="auto"/>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序号</w:t>
                  </w:r>
                </w:p>
              </w:tc>
              <w:tc>
                <w:tcPr>
                  <w:tcW w:w="6520" w:type="dxa"/>
                  <w:shd w:val="clear" w:color="auto" w:fill="FDE9D9" w:themeFill="accent6" w:themeFillTint="33"/>
                  <w:vAlign w:val="center"/>
                </w:tcPr>
                <w:p w14:paraId="612CBF6F">
                  <w:pPr>
                    <w:spacing w:line="240" w:lineRule="atLeast"/>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参数</w:t>
                  </w:r>
                  <w:r>
                    <w:rPr>
                      <w:rFonts w:hint="eastAsia" w:eastAsia="宋体" w:cs="Times New Roman" w:asciiTheme="minorEastAsia" w:hAnsiTheme="minorEastAsia"/>
                      <w:b/>
                      <w:kern w:val="0"/>
                      <w:sz w:val="22"/>
                      <w:szCs w:val="22"/>
                    </w:rPr>
                    <w:t>要求</w:t>
                  </w:r>
                </w:p>
              </w:tc>
            </w:tr>
            <w:tr w14:paraId="3351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0659667B">
                  <w:pPr>
                    <w:jc w:val="center"/>
                    <w:rPr>
                      <w:rFonts w:eastAsia="宋体" w:cs="宋体" w:asciiTheme="minorEastAsia" w:hAnsiTheme="minorEastAsia"/>
                      <w:sz w:val="24"/>
                    </w:rPr>
                  </w:pPr>
                  <w:r>
                    <w:rPr>
                      <w:rFonts w:hint="eastAsia" w:eastAsia="宋体" w:cs="宋体" w:asciiTheme="minorEastAsia" w:hAnsiTheme="minorEastAsia"/>
                      <w:sz w:val="24"/>
                    </w:rPr>
                    <w:t>★</w:t>
                  </w:r>
                  <w:r>
                    <w:rPr>
                      <w:rFonts w:hint="eastAsia" w:eastAsia="宋体" w:cs="宋体" w:asciiTheme="minorEastAsia" w:hAnsiTheme="minorEastAsia"/>
                      <w:b/>
                      <w:kern w:val="0"/>
                      <w:sz w:val="24"/>
                    </w:rPr>
                    <w:t>1</w:t>
                  </w:r>
                </w:p>
              </w:tc>
              <w:tc>
                <w:tcPr>
                  <w:tcW w:w="6520" w:type="dxa"/>
                  <w:shd w:val="clear" w:color="auto" w:fill="FDE9D9" w:themeFill="accent6" w:themeFillTint="33"/>
                  <w:vAlign w:val="center"/>
                </w:tcPr>
                <w:p w14:paraId="21854F11">
                  <w:pPr>
                    <w:spacing w:line="240" w:lineRule="atLeast"/>
                    <w:jc w:val="both"/>
                    <w:rPr>
                      <w:rFonts w:hint="eastAsia"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lang w:val="en-US" w:eastAsia="zh-CN"/>
                    </w:rPr>
                    <w:t>1、</w:t>
                  </w:r>
                  <w:r>
                    <w:rPr>
                      <w:rFonts w:hint="eastAsia" w:eastAsia="宋体" w:cs="Times New Roman" w:asciiTheme="minorEastAsia" w:hAnsiTheme="minorEastAsia"/>
                      <w:kern w:val="0"/>
                      <w:sz w:val="22"/>
                      <w:szCs w:val="22"/>
                    </w:rPr>
                    <w:t>形态学：细胞、虫卵、结晶、真菌等；</w:t>
                  </w:r>
                </w:p>
                <w:p w14:paraId="3CD941BA">
                  <w:pPr>
                    <w:spacing w:line="240" w:lineRule="atLeast"/>
                    <w:jc w:val="both"/>
                    <w:rPr>
                      <w:rFonts w:hint="default" w:eastAsia="宋体" w:cs="Times New Roman" w:asciiTheme="minorEastAsia" w:hAnsiTheme="minorEastAsia"/>
                      <w:kern w:val="0"/>
                      <w:sz w:val="22"/>
                      <w:szCs w:val="22"/>
                      <w:lang w:val="en-US" w:eastAsia="zh-CN"/>
                    </w:rPr>
                  </w:pPr>
                  <w:r>
                    <w:rPr>
                      <w:rFonts w:hint="eastAsia" w:eastAsia="宋体" w:cs="Times New Roman" w:asciiTheme="minorEastAsia" w:hAnsiTheme="minorEastAsia"/>
                      <w:kern w:val="0"/>
                      <w:sz w:val="22"/>
                      <w:szCs w:val="22"/>
                      <w:lang w:val="en-US" w:eastAsia="zh-CN"/>
                    </w:rPr>
                    <w:t>2</w:t>
                  </w:r>
                  <w:r>
                    <w:rPr>
                      <w:rFonts w:hint="eastAsia" w:eastAsia="宋体" w:cs="Times New Roman" w:asciiTheme="minorEastAsia" w:hAnsiTheme="minorEastAsia"/>
                      <w:kern w:val="0"/>
                      <w:sz w:val="22"/>
                      <w:szCs w:val="22"/>
                    </w:rPr>
                    <w:t xml:space="preserve"> </w:t>
                  </w:r>
                  <w:r>
                    <w:rPr>
                      <w:rFonts w:hint="eastAsia" w:eastAsia="宋体" w:cs="Times New Roman" w:asciiTheme="minorEastAsia" w:hAnsiTheme="minorEastAsia"/>
                      <w:kern w:val="0"/>
                      <w:sz w:val="22"/>
                      <w:szCs w:val="22"/>
                      <w:lang w:eastAsia="zh-CN"/>
                    </w:rPr>
                    <w:t>、</w:t>
                  </w:r>
                  <w:r>
                    <w:rPr>
                      <w:rFonts w:hint="eastAsia" w:eastAsia="宋体" w:cs="Times New Roman" w:asciiTheme="minorEastAsia" w:hAnsiTheme="minorEastAsia"/>
                      <w:kern w:val="0"/>
                      <w:sz w:val="22"/>
                      <w:szCs w:val="22"/>
                    </w:rPr>
                    <w:t>免疫学：</w:t>
                  </w:r>
                  <w:r>
                    <w:rPr>
                      <w:rFonts w:hint="eastAsia" w:eastAsia="宋体" w:cs="Times New Roman" w:asciiTheme="minorEastAsia" w:hAnsiTheme="minorEastAsia"/>
                      <w:kern w:val="0"/>
                      <w:sz w:val="22"/>
                      <w:szCs w:val="22"/>
                      <w:lang w:val="en-US" w:eastAsia="zh-CN"/>
                    </w:rPr>
                    <w:t>可同时检测</w:t>
                  </w:r>
                  <w:r>
                    <w:rPr>
                      <w:rFonts w:hint="eastAsia" w:eastAsia="宋体" w:cs="Times New Roman" w:asciiTheme="minorEastAsia" w:hAnsiTheme="minorEastAsia"/>
                      <w:kern w:val="0"/>
                      <w:sz w:val="22"/>
                      <w:szCs w:val="22"/>
                    </w:rPr>
                    <w:t>隐血、Hp、轮状病毒</w:t>
                  </w:r>
                  <w:r>
                    <w:rPr>
                      <w:rFonts w:hint="eastAsia" w:eastAsia="宋体" w:cs="Times New Roman" w:asciiTheme="minorEastAsia" w:hAnsiTheme="minorEastAsia"/>
                      <w:kern w:val="0"/>
                      <w:sz w:val="22"/>
                      <w:szCs w:val="22"/>
                      <w:lang w:eastAsia="zh-CN"/>
                    </w:rPr>
                    <w:t>、</w:t>
                  </w:r>
                  <w:r>
                    <w:rPr>
                      <w:rFonts w:hint="eastAsia" w:eastAsia="宋体" w:cs="Times New Roman" w:asciiTheme="minorEastAsia" w:hAnsiTheme="minorEastAsia"/>
                      <w:kern w:val="0"/>
                      <w:sz w:val="22"/>
                      <w:szCs w:val="22"/>
                    </w:rPr>
                    <w:t>诺如</w:t>
                  </w:r>
                  <w:r>
                    <w:rPr>
                      <w:rFonts w:hint="eastAsia" w:eastAsia="宋体" w:cs="Times New Roman" w:asciiTheme="minorEastAsia" w:hAnsiTheme="minorEastAsia"/>
                      <w:kern w:val="0"/>
                      <w:sz w:val="22"/>
                      <w:szCs w:val="22"/>
                      <w:lang w:val="en-US" w:eastAsia="zh-CN"/>
                    </w:rPr>
                    <w:t>及</w:t>
                  </w:r>
                  <w:r>
                    <w:rPr>
                      <w:rFonts w:hint="eastAsia" w:eastAsia="宋体" w:cs="Times New Roman" w:asciiTheme="minorEastAsia" w:hAnsiTheme="minorEastAsia"/>
                      <w:kern w:val="0"/>
                      <w:sz w:val="22"/>
                      <w:szCs w:val="22"/>
                    </w:rPr>
                    <w:t>乳糖不耐受</w:t>
                  </w:r>
                  <w:r>
                    <w:rPr>
                      <w:rFonts w:hint="eastAsia" w:eastAsia="宋体" w:cs="Times New Roman" w:asciiTheme="minorEastAsia" w:hAnsiTheme="minorEastAsia"/>
                      <w:kern w:val="0"/>
                      <w:sz w:val="22"/>
                      <w:szCs w:val="22"/>
                      <w:lang w:val="en-US" w:eastAsia="zh-CN"/>
                    </w:rPr>
                    <w:t>等项目。</w:t>
                  </w:r>
                </w:p>
                <w:p w14:paraId="247B284A">
                  <w:pPr>
                    <w:spacing w:line="240" w:lineRule="atLeast"/>
                    <w:jc w:val="both"/>
                    <w:rPr>
                      <w:rFonts w:hint="eastAsia"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lang w:val="en-US" w:eastAsia="zh-CN"/>
                    </w:rPr>
                    <w:t>3、</w:t>
                  </w:r>
                  <w:r>
                    <w:rPr>
                      <w:rFonts w:hint="eastAsia" w:eastAsia="宋体" w:cs="Times New Roman" w:asciiTheme="minorEastAsia" w:hAnsiTheme="minorEastAsia"/>
                      <w:kern w:val="0"/>
                      <w:sz w:val="22"/>
                      <w:szCs w:val="22"/>
                    </w:rPr>
                    <w:t>金标检测功能：≥6个卡盒，试剂位≥6个</w:t>
                  </w:r>
                  <w:r>
                    <w:rPr>
                      <w:rFonts w:hint="eastAsia" w:eastAsia="宋体" w:cs="Times New Roman" w:asciiTheme="minorEastAsia" w:hAnsiTheme="minorEastAsia"/>
                      <w:kern w:val="0"/>
                      <w:sz w:val="22"/>
                      <w:szCs w:val="22"/>
                      <w:lang w:eastAsia="zh-CN"/>
                    </w:rPr>
                    <w:t>，金标试剂卡总加载量≥</w:t>
                  </w:r>
                  <w:r>
                    <w:rPr>
                      <w:rFonts w:hint="eastAsia" w:eastAsia="宋体" w:cs="Times New Roman" w:asciiTheme="minorEastAsia" w:hAnsiTheme="minorEastAsia"/>
                      <w:kern w:val="0"/>
                      <w:sz w:val="22"/>
                      <w:szCs w:val="22"/>
                      <w:lang w:val="en-US" w:eastAsia="zh-CN"/>
                    </w:rPr>
                    <w:t>250</w:t>
                  </w:r>
                  <w:r>
                    <w:rPr>
                      <w:rFonts w:hint="eastAsia" w:eastAsia="宋体" w:cs="Times New Roman" w:asciiTheme="minorEastAsia" w:hAnsiTheme="minorEastAsia"/>
                      <w:kern w:val="0"/>
                      <w:sz w:val="22"/>
                      <w:szCs w:val="22"/>
                      <w:lang w:eastAsia="zh-CN"/>
                    </w:rPr>
                    <w:t>个。</w:t>
                  </w:r>
                </w:p>
                <w:p w14:paraId="14C571DA">
                  <w:pPr>
                    <w:spacing w:line="240" w:lineRule="atLeast"/>
                    <w:jc w:val="both"/>
                    <w:rPr>
                      <w:rFonts w:hint="eastAsia"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lang w:val="en-US" w:eastAsia="zh-CN"/>
                    </w:rPr>
                    <w:t>4、承诺设备</w:t>
                  </w:r>
                  <w:r>
                    <w:rPr>
                      <w:rFonts w:hint="eastAsia" w:eastAsia="宋体" w:cs="Times New Roman" w:asciiTheme="minorEastAsia" w:hAnsiTheme="minorEastAsia"/>
                      <w:kern w:val="0"/>
                      <w:sz w:val="22"/>
                      <w:szCs w:val="22"/>
                    </w:rPr>
                    <w:t>终身免费维修保养，无偿提供仪器所需配件。</w:t>
                  </w:r>
                </w:p>
                <w:p w14:paraId="20F2D3E1">
                  <w:pPr>
                    <w:spacing w:line="240" w:lineRule="atLeast"/>
                    <w:jc w:val="both"/>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lang w:val="en-US" w:eastAsia="zh-CN"/>
                    </w:rPr>
                    <w:t>5、</w:t>
                  </w:r>
                  <w:r>
                    <w:rPr>
                      <w:rFonts w:hint="eastAsia" w:eastAsia="宋体" w:cs="Times New Roman" w:asciiTheme="minorEastAsia" w:hAnsiTheme="minorEastAsia"/>
                      <w:kern w:val="0"/>
                      <w:sz w:val="22"/>
                      <w:szCs w:val="22"/>
                    </w:rPr>
                    <w:t>免费</w:t>
                  </w:r>
                  <w:r>
                    <w:rPr>
                      <w:rFonts w:hint="eastAsia" w:eastAsia="宋体" w:cs="Times New Roman" w:asciiTheme="minorEastAsia" w:hAnsiTheme="minorEastAsia"/>
                      <w:kern w:val="0"/>
                      <w:sz w:val="22"/>
                      <w:szCs w:val="22"/>
                      <w:lang w:val="en-US" w:eastAsia="zh-CN"/>
                    </w:rPr>
                    <w:t>接</w:t>
                  </w:r>
                  <w:r>
                    <w:rPr>
                      <w:rFonts w:hint="eastAsia" w:eastAsia="宋体" w:cs="Times New Roman" w:asciiTheme="minorEastAsia" w:hAnsiTheme="minorEastAsia"/>
                      <w:kern w:val="0"/>
                      <w:sz w:val="22"/>
                      <w:szCs w:val="22"/>
                    </w:rPr>
                    <w:t>医院信息系统，信息端口若干</w:t>
                  </w:r>
                  <w:r>
                    <w:rPr>
                      <w:rFonts w:hint="eastAsia" w:eastAsia="宋体" w:cs="Times New Roman" w:asciiTheme="minorEastAsia" w:hAnsiTheme="minorEastAsia"/>
                      <w:kern w:val="0"/>
                      <w:sz w:val="22"/>
                      <w:szCs w:val="22"/>
                      <w:lang w:eastAsia="zh-CN"/>
                    </w:rPr>
                    <w:t>，</w:t>
                  </w:r>
                  <w:r>
                    <w:rPr>
                      <w:rFonts w:hint="eastAsia" w:eastAsia="宋体" w:cs="Times New Roman" w:asciiTheme="minorEastAsia" w:hAnsiTheme="minorEastAsia"/>
                      <w:kern w:val="0"/>
                      <w:sz w:val="22"/>
                      <w:szCs w:val="22"/>
                      <w:lang w:val="en-US" w:eastAsia="zh-CN"/>
                    </w:rPr>
                    <w:t>支持双工，可自动识别检测项目</w:t>
                  </w:r>
                  <w:r>
                    <w:rPr>
                      <w:rFonts w:hint="eastAsia" w:eastAsia="宋体" w:cs="Times New Roman" w:asciiTheme="minorEastAsia" w:hAnsiTheme="minorEastAsia"/>
                      <w:kern w:val="0"/>
                      <w:sz w:val="22"/>
                      <w:szCs w:val="22"/>
                    </w:rPr>
                    <w:t>。</w:t>
                  </w:r>
                </w:p>
              </w:tc>
            </w:tr>
            <w:tr w14:paraId="396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675CF061">
                  <w:pPr>
                    <w:jc w:val="center"/>
                    <w:rPr>
                      <w:rFonts w:eastAsia="宋体" w:cs="宋体" w:asciiTheme="minorEastAsia" w:hAnsiTheme="minorEastAsia"/>
                      <w:b/>
                      <w:kern w:val="0"/>
                      <w:sz w:val="24"/>
                    </w:rPr>
                  </w:pPr>
                  <w:r>
                    <w:rPr>
                      <w:rFonts w:hint="eastAsia" w:eastAsia="宋体" w:cs="Times New Roman" w:asciiTheme="minorEastAsia" w:hAnsiTheme="minorEastAsia"/>
                      <w:b/>
                      <w:kern w:val="0"/>
                      <w:sz w:val="24"/>
                    </w:rPr>
                    <w:t>▲</w:t>
                  </w:r>
                  <w:r>
                    <w:rPr>
                      <w:rFonts w:hint="eastAsia" w:eastAsia="宋体" w:cs="宋体" w:asciiTheme="minorEastAsia" w:hAnsiTheme="minorEastAsia"/>
                      <w:b/>
                      <w:kern w:val="0"/>
                      <w:sz w:val="24"/>
                    </w:rPr>
                    <w:t>2</w:t>
                  </w:r>
                </w:p>
              </w:tc>
              <w:tc>
                <w:tcPr>
                  <w:tcW w:w="6520" w:type="dxa"/>
                  <w:shd w:val="clear" w:color="auto" w:fill="FDE9D9" w:themeFill="accent6" w:themeFillTint="33"/>
                  <w:vAlign w:val="center"/>
                </w:tcPr>
                <w:p w14:paraId="67132FA5">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 xml:space="preserve">检测速度：检测速度 ≥ </w:t>
                  </w:r>
                  <w:r>
                    <w:rPr>
                      <w:rFonts w:hint="eastAsia" w:eastAsia="宋体" w:cs="Times New Roman" w:asciiTheme="minorEastAsia" w:hAnsiTheme="minorEastAsia"/>
                      <w:sz w:val="22"/>
                      <w:szCs w:val="22"/>
                      <w:lang w:val="en-US" w:eastAsia="zh-CN"/>
                    </w:rPr>
                    <w:t>70</w:t>
                  </w:r>
                  <w:r>
                    <w:rPr>
                      <w:rFonts w:hint="eastAsia" w:eastAsia="宋体" w:cs="Times New Roman" w:asciiTheme="minorEastAsia" w:hAnsiTheme="minorEastAsia"/>
                      <w:sz w:val="22"/>
                      <w:szCs w:val="22"/>
                    </w:rPr>
                    <w:t>个标本/小时</w:t>
                  </w:r>
                  <w:r>
                    <w:rPr>
                      <w:rFonts w:hint="eastAsia" w:eastAsia="宋体" w:cs="Times New Roman" w:asciiTheme="minorEastAsia" w:hAnsiTheme="minorEastAsia"/>
                      <w:sz w:val="22"/>
                      <w:szCs w:val="22"/>
                      <w:lang w:eastAsia="zh-CN"/>
                    </w:rPr>
                    <w:t>，金标检测项目：仪器可同时一次性吸样检测项目≥6个。</w:t>
                  </w:r>
                </w:p>
              </w:tc>
            </w:tr>
            <w:tr w14:paraId="0B5B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598B006F">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3</w:t>
                  </w:r>
                </w:p>
              </w:tc>
              <w:tc>
                <w:tcPr>
                  <w:tcW w:w="6520" w:type="dxa"/>
                  <w:shd w:val="clear" w:color="auto" w:fill="FDE9D9" w:themeFill="accent6" w:themeFillTint="33"/>
                  <w:vAlign w:val="center"/>
                </w:tcPr>
                <w:p w14:paraId="1F72DA17">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rPr>
                    <w:t>进样方式：轨道式自动进样</w:t>
                  </w:r>
                  <w:r>
                    <w:rPr>
                      <w:rFonts w:hint="eastAsia" w:eastAsia="宋体" w:cs="Times New Roman" w:asciiTheme="minorEastAsia" w:hAnsiTheme="minorEastAsia"/>
                      <w:sz w:val="22"/>
                      <w:szCs w:val="22"/>
                      <w:lang w:eastAsia="zh-CN"/>
                    </w:rPr>
                    <w:t>，待检区容纳标本数≥</w:t>
                  </w:r>
                  <w:r>
                    <w:rPr>
                      <w:rFonts w:hint="eastAsia" w:eastAsia="宋体" w:cs="Times New Roman" w:asciiTheme="minorEastAsia" w:hAnsiTheme="minorEastAsia"/>
                      <w:sz w:val="22"/>
                      <w:szCs w:val="22"/>
                      <w:lang w:val="en-US" w:eastAsia="zh-CN"/>
                    </w:rPr>
                    <w:t>50</w:t>
                  </w:r>
                  <w:r>
                    <w:rPr>
                      <w:rFonts w:hint="eastAsia" w:eastAsia="宋体" w:cs="Times New Roman" w:asciiTheme="minorEastAsia" w:hAnsiTheme="minorEastAsia"/>
                      <w:sz w:val="22"/>
                      <w:szCs w:val="22"/>
                      <w:lang w:eastAsia="zh-CN"/>
                    </w:rPr>
                    <w:t>个</w:t>
                  </w:r>
                  <w:r>
                    <w:rPr>
                      <w:rFonts w:hint="eastAsia" w:eastAsia="宋体" w:cs="Times New Roman" w:asciiTheme="minorEastAsia" w:hAnsiTheme="minorEastAsia"/>
                      <w:sz w:val="22"/>
                      <w:szCs w:val="22"/>
                    </w:rPr>
                    <w:t>。</w:t>
                  </w:r>
                </w:p>
              </w:tc>
            </w:tr>
            <w:tr w14:paraId="591B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088E538C">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4</w:t>
                  </w:r>
                </w:p>
              </w:tc>
              <w:tc>
                <w:tcPr>
                  <w:tcW w:w="6520" w:type="dxa"/>
                  <w:shd w:val="clear" w:color="auto" w:fill="FDE9D9" w:themeFill="accent6" w:themeFillTint="33"/>
                  <w:vAlign w:val="center"/>
                </w:tcPr>
                <w:p w14:paraId="7B285D51">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rPr>
                    <w:t>计数池检测通道：流动石英计数池 。</w:t>
                  </w:r>
                </w:p>
              </w:tc>
            </w:tr>
            <w:tr w14:paraId="7D90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276408AE">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5</w:t>
                  </w:r>
                </w:p>
              </w:tc>
              <w:tc>
                <w:tcPr>
                  <w:tcW w:w="6520" w:type="dxa"/>
                  <w:shd w:val="clear" w:color="auto" w:fill="FDE9D9" w:themeFill="accent6" w:themeFillTint="33"/>
                  <w:vAlign w:val="center"/>
                </w:tcPr>
                <w:p w14:paraId="015BA1BA">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rPr>
                    <w:t>样本稀释：≥5种以上稀释方式,具备智能稀释功能，可根据样本颜色、性状等情况进行自动调整稀释液用量。</w:t>
                  </w:r>
                </w:p>
              </w:tc>
            </w:tr>
            <w:tr w14:paraId="0F6C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1E87806A">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6</w:t>
                  </w:r>
                </w:p>
              </w:tc>
              <w:tc>
                <w:tcPr>
                  <w:tcW w:w="6520" w:type="dxa"/>
                  <w:shd w:val="clear" w:color="auto" w:fill="FDE9D9" w:themeFill="accent6" w:themeFillTint="33"/>
                  <w:vAlign w:val="center"/>
                </w:tcPr>
                <w:p w14:paraId="167DB71D">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rPr>
                    <w:t>显微镜物镜：显微镜物镜≥2个，开机自动对焦，全自动一键对焦功能。</w:t>
                  </w:r>
                </w:p>
              </w:tc>
            </w:tr>
            <w:tr w14:paraId="1876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5C13C1B4">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7</w:t>
                  </w:r>
                </w:p>
              </w:tc>
              <w:tc>
                <w:tcPr>
                  <w:tcW w:w="6520" w:type="dxa"/>
                  <w:shd w:val="clear" w:color="auto" w:fill="FDE9D9" w:themeFill="accent6" w:themeFillTint="33"/>
                  <w:vAlign w:val="center"/>
                </w:tcPr>
                <w:p w14:paraId="60B160BA">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rPr>
                    <w:t>有形成分检测：检测红细胞、白细胞、真菌、脂肪球、虫卵等成分</w:t>
                  </w:r>
                </w:p>
              </w:tc>
            </w:tr>
            <w:tr w14:paraId="37F7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75660D66">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8</w:t>
                  </w:r>
                </w:p>
              </w:tc>
              <w:tc>
                <w:tcPr>
                  <w:tcW w:w="6520" w:type="dxa"/>
                  <w:shd w:val="clear" w:color="auto" w:fill="FDE9D9" w:themeFill="accent6" w:themeFillTint="33"/>
                  <w:vAlign w:val="center"/>
                </w:tcPr>
                <w:p w14:paraId="0D0E959B">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rPr>
                    <w:t>混匀方式:旋转混匀，混匀旋转速度可调</w:t>
                  </w:r>
                </w:p>
              </w:tc>
            </w:tr>
            <w:tr w14:paraId="582A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5282C256">
                  <w:pPr>
                    <w:jc w:val="center"/>
                    <w:rPr>
                      <w:rFonts w:hint="eastAsia"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9</w:t>
                  </w:r>
                </w:p>
              </w:tc>
              <w:tc>
                <w:tcPr>
                  <w:tcW w:w="6520" w:type="dxa"/>
                  <w:shd w:val="clear" w:color="auto" w:fill="FDE9D9" w:themeFill="accent6" w:themeFillTint="33"/>
                  <w:vAlign w:val="center"/>
                </w:tcPr>
                <w:p w14:paraId="5CCB9791">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lang w:val="en-US" w:eastAsia="zh-CN"/>
                    </w:rPr>
                    <w:t>自动碘染色检测模式：具备自动碘染色检测模式，仪器对粪便标本进行碘染色后，全自动完成显微镜检测。</w:t>
                  </w:r>
                </w:p>
              </w:tc>
            </w:tr>
            <w:tr w14:paraId="3185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2AD1D32A">
                  <w:pPr>
                    <w:jc w:val="center"/>
                    <w:rPr>
                      <w:rFonts w:hint="default"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10</w:t>
                  </w:r>
                </w:p>
              </w:tc>
              <w:tc>
                <w:tcPr>
                  <w:tcW w:w="6520" w:type="dxa"/>
                  <w:shd w:val="clear" w:color="auto" w:fill="FDE9D9" w:themeFill="accent6" w:themeFillTint="33"/>
                  <w:vAlign w:val="center"/>
                </w:tcPr>
                <w:p w14:paraId="0256AD1E">
                  <w:pPr>
                    <w:spacing w:line="240" w:lineRule="atLeast"/>
                    <w:rPr>
                      <w:rFonts w:hint="eastAsia" w:eastAsia="宋体" w:cs="Times New Roman" w:asciiTheme="minorEastAsia" w:hAnsiTheme="minorEastAsia"/>
                      <w:kern w:val="2"/>
                      <w:sz w:val="22"/>
                      <w:szCs w:val="22"/>
                      <w:lang w:val="en-US" w:eastAsia="zh-CN" w:bidi="ar-SA"/>
                    </w:rPr>
                  </w:pPr>
                  <w:r>
                    <w:rPr>
                      <w:rFonts w:hint="eastAsia" w:eastAsia="宋体" w:cs="Times New Roman" w:asciiTheme="minorEastAsia" w:hAnsiTheme="minorEastAsia"/>
                      <w:sz w:val="22"/>
                      <w:szCs w:val="22"/>
                      <w:lang w:val="en-US" w:eastAsia="zh-CN"/>
                    </w:rPr>
                    <w:t>具备原厂配套形态学 + 隐血质控品</w:t>
                  </w:r>
                </w:p>
              </w:tc>
            </w:tr>
            <w:tr w14:paraId="5714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6C96EB7D">
                  <w:pPr>
                    <w:jc w:val="center"/>
                    <w:rPr>
                      <w:rFonts w:hint="default" w:eastAsia="宋体" w:cs="Times New Roman" w:asciiTheme="minorEastAsia" w:hAnsiTheme="minorEastAsia"/>
                      <w:b/>
                      <w:kern w:val="0"/>
                      <w:sz w:val="24"/>
                      <w:lang w:val="en-US" w:eastAsia="zh-CN"/>
                    </w:rPr>
                  </w:pPr>
                  <w:r>
                    <w:rPr>
                      <w:rFonts w:hint="eastAsia" w:eastAsia="宋体" w:cs="Times New Roman" w:asciiTheme="minorEastAsia" w:hAnsiTheme="minorEastAsia"/>
                      <w:b/>
                      <w:kern w:val="0"/>
                      <w:sz w:val="24"/>
                    </w:rPr>
                    <w:t>▲</w:t>
                  </w:r>
                  <w:r>
                    <w:rPr>
                      <w:rFonts w:hint="eastAsia" w:eastAsia="宋体" w:cs="Times New Roman" w:asciiTheme="minorEastAsia" w:hAnsiTheme="minorEastAsia"/>
                      <w:b/>
                      <w:kern w:val="0"/>
                      <w:sz w:val="24"/>
                      <w:lang w:val="en-US" w:eastAsia="zh-CN"/>
                    </w:rPr>
                    <w:t>11</w:t>
                  </w:r>
                </w:p>
              </w:tc>
              <w:tc>
                <w:tcPr>
                  <w:tcW w:w="6520" w:type="dxa"/>
                  <w:shd w:val="clear" w:color="auto" w:fill="FDE9D9" w:themeFill="accent6" w:themeFillTint="33"/>
                  <w:vAlign w:val="center"/>
                </w:tcPr>
                <w:p w14:paraId="29A94A53">
                  <w:pPr>
                    <w:spacing w:line="240" w:lineRule="atLeast"/>
                    <w:rPr>
                      <w:rFonts w:hint="eastAsia" w:eastAsia="宋体" w:cs="Times New Roman" w:asciiTheme="minorEastAsia" w:hAnsiTheme="minorEastAsia"/>
                      <w:sz w:val="22"/>
                      <w:szCs w:val="22"/>
                      <w:lang w:val="en-US" w:eastAsia="zh-CN"/>
                    </w:rPr>
                  </w:pPr>
                  <w:r>
                    <w:rPr>
                      <w:rFonts w:hint="eastAsia" w:eastAsia="宋体" w:cs="Times New Roman" w:asciiTheme="minorEastAsia" w:hAnsiTheme="minorEastAsia"/>
                      <w:sz w:val="22"/>
                      <w:szCs w:val="22"/>
                    </w:rPr>
                    <w:t>软件自带功能质控功能模块，直接上机进行质控操</w:t>
                  </w:r>
                  <w:r>
                    <w:rPr>
                      <w:rFonts w:hint="eastAsia" w:eastAsia="宋体" w:cs="Times New Roman" w:asciiTheme="minorEastAsia" w:hAnsiTheme="minorEastAsia"/>
                      <w:sz w:val="22"/>
                      <w:szCs w:val="22"/>
                      <w:lang w:eastAsia="zh-CN"/>
                    </w:rPr>
                    <w:t>，</w:t>
                  </w:r>
                  <w:r>
                    <w:rPr>
                      <w:rFonts w:hint="eastAsia" w:eastAsia="宋体" w:cs="Times New Roman" w:asciiTheme="minorEastAsia" w:hAnsiTheme="minorEastAsia"/>
                      <w:sz w:val="22"/>
                      <w:szCs w:val="22"/>
                      <w:lang w:val="en-US" w:eastAsia="zh-CN"/>
                    </w:rPr>
                    <w:t>优先考虑免费提供所有检测项目校准品、质控品的厂家。</w:t>
                  </w:r>
                </w:p>
              </w:tc>
            </w:tr>
          </w:tbl>
          <w:p w14:paraId="73D42D20">
            <w:pPr>
              <w:spacing w:line="360" w:lineRule="auto"/>
            </w:pPr>
          </w:p>
        </w:tc>
      </w:tr>
      <w:tr w14:paraId="15BCC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23744AF"/>
        </w:tc>
        <w:tc>
          <w:tcPr>
            <w:tcW w:w="486" w:type="dxa"/>
          </w:tcPr>
          <w:p w14:paraId="46B7854B">
            <w:r>
              <w:rPr>
                <w:rFonts w:hint="eastAsia"/>
              </w:rPr>
              <w:t>2</w:t>
            </w:r>
          </w:p>
        </w:tc>
        <w:tc>
          <w:tcPr>
            <w:tcW w:w="7500" w:type="dxa"/>
          </w:tcPr>
          <w:p w14:paraId="5A027360">
            <w:pPr>
              <w:spacing w:line="360" w:lineRule="auto"/>
              <w:jc w:val="left"/>
            </w:pPr>
            <w:r>
              <w:rPr>
                <w:rFonts w:hint="eastAsia"/>
              </w:rPr>
              <w:t>货物要求：</w:t>
            </w:r>
          </w:p>
          <w:p w14:paraId="3F836E58">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0A092B4">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3F782D55">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4AC665F2">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2F9D41BF">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7DD67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545A5E8B">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2E0B1292">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377B908F">
      <w:pPr>
        <w:pStyle w:val="7"/>
        <w:ind w:left="0" w:leftChars="0" w:firstLine="0" w:firstLineChars="0"/>
      </w:pPr>
    </w:p>
    <w:p w14:paraId="6F4A924B">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2C2B5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93D84AA">
            <w:pPr>
              <w:spacing w:line="360" w:lineRule="auto"/>
            </w:pPr>
            <w:r>
              <w:rPr>
                <w:rFonts w:hint="eastAsia"/>
              </w:rPr>
              <w:t>① 供货</w:t>
            </w:r>
            <w:r>
              <w:t>时间</w:t>
            </w:r>
          </w:p>
        </w:tc>
        <w:tc>
          <w:tcPr>
            <w:tcW w:w="6663" w:type="dxa"/>
          </w:tcPr>
          <w:p w14:paraId="7CC00647">
            <w:pPr>
              <w:spacing w:line="360" w:lineRule="auto"/>
            </w:pPr>
            <w:r>
              <w:rPr>
                <w:rFonts w:hint="eastAsia"/>
              </w:rPr>
              <w:t>合同签订生效后30个日历天内，完成到货安装调试并提交采购人试用。</w:t>
            </w:r>
          </w:p>
        </w:tc>
      </w:tr>
      <w:tr w14:paraId="7F83C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4F7D934">
            <w:pPr>
              <w:spacing w:line="360" w:lineRule="auto"/>
            </w:pPr>
            <w:r>
              <w:rPr>
                <w:rFonts w:hint="eastAsia"/>
              </w:rPr>
              <w:t>② 供货</w:t>
            </w:r>
            <w:r>
              <w:t>地点</w:t>
            </w:r>
          </w:p>
        </w:tc>
        <w:tc>
          <w:tcPr>
            <w:tcW w:w="6663" w:type="dxa"/>
          </w:tcPr>
          <w:p w14:paraId="738DB0DE">
            <w:pPr>
              <w:spacing w:line="360" w:lineRule="auto"/>
            </w:pPr>
            <w:r>
              <w:rPr>
                <w:rFonts w:hint="eastAsia"/>
                <w:color w:val="000000" w:themeColor="text1"/>
                <w14:textFill>
                  <w14:solidFill>
                    <w14:schemeClr w14:val="tx1"/>
                  </w14:solidFill>
                </w14:textFill>
              </w:rPr>
              <w:t>采购人</w:t>
            </w:r>
            <w:r>
              <w:t>指定地点</w:t>
            </w:r>
          </w:p>
        </w:tc>
      </w:tr>
      <w:tr w14:paraId="26EB6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12EBC0D6">
            <w:pPr>
              <w:spacing w:line="360" w:lineRule="auto"/>
            </w:pPr>
            <w:r>
              <w:rPr>
                <w:rFonts w:hint="eastAsia"/>
              </w:rPr>
              <w:t xml:space="preserve">③ </w:t>
            </w:r>
            <w:r>
              <w:t>付款方式</w:t>
            </w:r>
          </w:p>
        </w:tc>
        <w:tc>
          <w:tcPr>
            <w:tcW w:w="6663" w:type="dxa"/>
          </w:tcPr>
          <w:p w14:paraId="15917A92">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1F9224B3">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286DD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421A751">
            <w:pPr>
              <w:spacing w:line="360" w:lineRule="auto"/>
            </w:pPr>
            <w:r>
              <w:rPr>
                <w:rFonts w:hint="eastAsia"/>
              </w:rPr>
              <w:t xml:space="preserve">④ </w:t>
            </w:r>
            <w:r>
              <w:t>验收要求</w:t>
            </w:r>
          </w:p>
        </w:tc>
        <w:tc>
          <w:tcPr>
            <w:tcW w:w="6663" w:type="dxa"/>
          </w:tcPr>
          <w:p w14:paraId="7BD08473">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A5A6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8124E32">
            <w:pPr>
              <w:spacing w:line="360" w:lineRule="auto"/>
            </w:pPr>
            <w:r>
              <w:rPr>
                <w:rFonts w:hint="eastAsia"/>
              </w:rPr>
              <w:t xml:space="preserve">⑤ </w:t>
            </w:r>
            <w:r>
              <w:t>其他</w:t>
            </w:r>
            <w:r>
              <w:rPr>
                <w:rFonts w:hint="eastAsia"/>
              </w:rPr>
              <w:t>要求</w:t>
            </w:r>
          </w:p>
        </w:tc>
        <w:tc>
          <w:tcPr>
            <w:tcW w:w="6663" w:type="dxa"/>
          </w:tcPr>
          <w:p w14:paraId="6F2661C5">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538022EB">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75465D37">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1165E3D9">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7A99E25C">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69C3F9CF">
            <w:pPr>
              <w:spacing w:line="360" w:lineRule="auto"/>
              <w:jc w:val="left"/>
              <w:rPr>
                <w:bCs/>
                <w:szCs w:val="21"/>
              </w:rPr>
            </w:pPr>
            <w:r>
              <w:rPr>
                <w:rFonts w:hint="eastAsia"/>
                <w:bCs/>
                <w:szCs w:val="21"/>
              </w:rPr>
              <w:t>（3）承担设备首次计量校准费用。</w:t>
            </w:r>
          </w:p>
          <w:p w14:paraId="152D9DBB">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1D55604B">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23FC7FF7">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jQzZjkyMDIwNWE0ZDQ1Y2E3NzlkZGM0N2U0NjMifQ=="/>
  </w:docVars>
  <w:rsids>
    <w:rsidRoot w:val="00CE35EB"/>
    <w:rsid w:val="000144B2"/>
    <w:rsid w:val="00043EF5"/>
    <w:rsid w:val="00070DD7"/>
    <w:rsid w:val="00074123"/>
    <w:rsid w:val="0008595D"/>
    <w:rsid w:val="000A2591"/>
    <w:rsid w:val="000C2191"/>
    <w:rsid w:val="000C2559"/>
    <w:rsid w:val="000C7E78"/>
    <w:rsid w:val="000D591A"/>
    <w:rsid w:val="000F2543"/>
    <w:rsid w:val="000F2734"/>
    <w:rsid w:val="000F75BA"/>
    <w:rsid w:val="00101611"/>
    <w:rsid w:val="00111C33"/>
    <w:rsid w:val="00140B25"/>
    <w:rsid w:val="001A350B"/>
    <w:rsid w:val="001B20EF"/>
    <w:rsid w:val="001C10CE"/>
    <w:rsid w:val="001D52B0"/>
    <w:rsid w:val="001D5C7E"/>
    <w:rsid w:val="001F4128"/>
    <w:rsid w:val="00232E4B"/>
    <w:rsid w:val="002404B3"/>
    <w:rsid w:val="00260911"/>
    <w:rsid w:val="002C2158"/>
    <w:rsid w:val="003031D2"/>
    <w:rsid w:val="00311E7F"/>
    <w:rsid w:val="00334C9E"/>
    <w:rsid w:val="003536ED"/>
    <w:rsid w:val="00353A1C"/>
    <w:rsid w:val="00355391"/>
    <w:rsid w:val="0036203F"/>
    <w:rsid w:val="00392AD1"/>
    <w:rsid w:val="003A1C57"/>
    <w:rsid w:val="003B5BBD"/>
    <w:rsid w:val="003C700F"/>
    <w:rsid w:val="003D281C"/>
    <w:rsid w:val="003E33C7"/>
    <w:rsid w:val="003F3D39"/>
    <w:rsid w:val="0040229F"/>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3F22"/>
    <w:rsid w:val="006A6624"/>
    <w:rsid w:val="006C3B09"/>
    <w:rsid w:val="006D0AA5"/>
    <w:rsid w:val="006D7262"/>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37EFF"/>
    <w:rsid w:val="00B51D64"/>
    <w:rsid w:val="00B54242"/>
    <w:rsid w:val="00B631E1"/>
    <w:rsid w:val="00BA2AD8"/>
    <w:rsid w:val="00BC72F0"/>
    <w:rsid w:val="00BD4999"/>
    <w:rsid w:val="00C30EC5"/>
    <w:rsid w:val="00C74D09"/>
    <w:rsid w:val="00C913DB"/>
    <w:rsid w:val="00C979AF"/>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ED0456"/>
    <w:rsid w:val="00F0111E"/>
    <w:rsid w:val="00F06225"/>
    <w:rsid w:val="00F35112"/>
    <w:rsid w:val="00F7023F"/>
    <w:rsid w:val="00F72C24"/>
    <w:rsid w:val="00F7555A"/>
    <w:rsid w:val="00F86435"/>
    <w:rsid w:val="00F868EC"/>
    <w:rsid w:val="00FB74F6"/>
    <w:rsid w:val="00FC45BC"/>
    <w:rsid w:val="00FC6EFF"/>
    <w:rsid w:val="00FD5CEA"/>
    <w:rsid w:val="00FE169A"/>
    <w:rsid w:val="00FF7939"/>
    <w:rsid w:val="26475530"/>
    <w:rsid w:val="27FA7279"/>
    <w:rsid w:val="4FCA0B10"/>
    <w:rsid w:val="61465B96"/>
    <w:rsid w:val="745857E5"/>
    <w:rsid w:val="7599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2925</Words>
  <Characters>2965</Characters>
  <Lines>30</Lines>
  <Paragraphs>8</Paragraphs>
  <TotalTime>2</TotalTime>
  <ScaleCrop>false</ScaleCrop>
  <LinksUpToDate>false</LinksUpToDate>
  <CharactersWithSpaces>2981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2025-12-24T03:55:00Z</dcterms:created>
  <dc:creator>何烷桦</dc:creator>
  <cp:lastModifiedBy>伍卓坚</cp:lastModifiedBy>
  <dcterms:modified xsi:type="dcterms:W3CDTF">2026-03-20T06:41:31Z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BCB6A5E226E0410AACB1EB59D56D71B5_13</vt:lpwstr>
  </property>
  <property fmtid="{D5CDD505-2E9C-101B-9397-08002B2CF9AE}" pid="4" name="KSOTemplateDocerSaveRecord">
    <vt:lpwstr>eyJoZGlkIjoiYTBiZGVlOTBlYTdmNTA4NWI2ZTlmMmIyMzE4ODRkN2EiLCJ1c2VySWQiOiI0Mzc1NTM4MjUifQ==</vt:lpwstr>
  </property>
</Properties>
</file>