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568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江门市妇幼保健院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公务用车租赁服务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采购需求</w:t>
      </w:r>
    </w:p>
    <w:p w14:paraId="19C0E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 w14:paraId="55FB4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江门市妇幼保健院公务用车租赁服务项目</w:t>
      </w:r>
    </w:p>
    <w:p w14:paraId="6D90E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二、服务内容</w:t>
      </w:r>
    </w:p>
    <w:p w14:paraId="5EDE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本项目服务内容主要包括根据江门市妇幼保健院实际公务用车需求，不定量、不定期租用小轿车、商务车、中型普通客车等车辆及相应随车驾驶劳务服务。</w:t>
      </w:r>
    </w:p>
    <w:p w14:paraId="26AC0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三、服务要求</w:t>
      </w:r>
    </w:p>
    <w:p w14:paraId="7365A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1.我单位提出需求后，服务供应商须24小时内予以响应，并在要求时间内提供车辆。</w:t>
      </w:r>
    </w:p>
    <w:p w14:paraId="729F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2.用于租赁服务的车辆保险及年检均合法有效，车容车貌良好，车内环境卫生清洁，车内配有瓶装水、干纸巾、湿纸巾、清洁袋、雨伞、充电线等设施。</w:t>
      </w:r>
    </w:p>
    <w:p w14:paraId="1145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3.驾驶劳务人员具有相应驾驶资格证书。</w:t>
      </w:r>
    </w:p>
    <w:p w14:paraId="67845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4.全部车辆需按照规定进行车辆检测和维护保养，保证车辆技术性能良好、符合安全行驶条件。</w:t>
      </w:r>
    </w:p>
    <w:p w14:paraId="210B6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四、项目预算</w:t>
      </w:r>
    </w:p>
    <w:p w14:paraId="66D8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此次项目经费预算24万元（含税），按实际租赁情况据实结算（付款方式以合同为准）。</w:t>
      </w:r>
    </w:p>
    <w:p w14:paraId="3AF45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五、租赁费用的计算与支付</w:t>
      </w:r>
    </w:p>
    <w:p w14:paraId="5E328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（一）纯车辆租赁费用的计算</w:t>
      </w:r>
    </w:p>
    <w:p w14:paraId="6653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纯车辆租赁费用=日租金额×天数+停车费+路桥费+车辆能源费用（如汽油\柴油费用，充电费用等车辆交付使用时车辆使用能源应为满载状态）。</w:t>
      </w:r>
    </w:p>
    <w:p w14:paraId="6BA0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1.路桥费、停车费及车辆能源费由提供租赁服务的成交供应商先垫付，结算时由我单位一并支付。</w:t>
      </w:r>
    </w:p>
    <w:p w14:paraId="0FAE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2.如果租赁时间不超过4小时，按半日租金计算，即租赁费用=日租金额×50%+停车费+路桥费+车辆能源费。</w:t>
      </w:r>
    </w:p>
    <w:p w14:paraId="5F1B8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（二）含司机租赁费用的计算</w:t>
      </w:r>
    </w:p>
    <w:p w14:paraId="24E0E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含司机租赁费用=日租金额×天数+停车费+路桥费+司机住宿费×天数（若有）+超时费（若有）+超公里费（若有）。</w:t>
      </w:r>
    </w:p>
    <w:p w14:paraId="11B39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1.路桥费和停车费由提供租赁服务的成交供应商先垫付，结算时由我单位一并支付。</w:t>
      </w:r>
    </w:p>
    <w:p w14:paraId="5163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2.如果租赁时间不超过4小时，按半日租金计算，即租赁费用=日租金额×50%+停车费+路桥费+超公里费（若有，超100千米的部分按投标报价超里程标准价计算）。</w:t>
      </w:r>
    </w:p>
    <w:p w14:paraId="5778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（三）租赁费用的结算</w:t>
      </w:r>
    </w:p>
    <w:p w14:paraId="4202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成交供应商应向我单位提供结算资料，包括：租车费用构成说明、租车期间每日的车辆定位系统记录、路桥费、车辆能源费（纯车辆租赁时提供）和停车费记录（根据实际情况）、发票等。</w:t>
      </w:r>
    </w:p>
    <w:p w14:paraId="34764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六、租赁报价的要求</w:t>
      </w:r>
    </w:p>
    <w:tbl>
      <w:tblPr>
        <w:tblStyle w:val="3"/>
        <w:tblW w:w="823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EF2CB" w:themeFill="accent3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967"/>
        <w:gridCol w:w="1801"/>
        <w:gridCol w:w="1590"/>
        <w:gridCol w:w="1228"/>
        <w:gridCol w:w="1491"/>
      </w:tblGrid>
      <w:tr w14:paraId="5D63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2CB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7DC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车型</w:t>
            </w:r>
          </w:p>
        </w:tc>
        <w:tc>
          <w:tcPr>
            <w:tcW w:w="4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94D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日租金额（最高限价）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0853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司机</w:t>
            </w:r>
          </w:p>
          <w:p w14:paraId="3D60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住宿费</w:t>
            </w:r>
          </w:p>
        </w:tc>
      </w:tr>
      <w:tr w14:paraId="628B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2970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FDB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包8小时，200千米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0E4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超时</w:t>
            </w:r>
          </w:p>
          <w:p w14:paraId="22D3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（元/小时）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2F50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超里程</w:t>
            </w:r>
          </w:p>
          <w:p w14:paraId="1DFC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（元/千米）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1132D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CE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7176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小轿车</w:t>
            </w:r>
          </w:p>
          <w:p w14:paraId="39F3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764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丰田凯美瑞或同类档次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5480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配驾驶员：580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5774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6DD4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DC0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每晚不超过200元，以发票金额为准，发票金额高于200元只报200元；</w:t>
            </w:r>
          </w:p>
        </w:tc>
      </w:tr>
      <w:tr w14:paraId="4971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1227D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D0D8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2EFD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不配驾驶员：380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B9B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车辆能源费用（如汽油、柴油费用，充电费用等。车辆交付使用时，车辆使用能源应为满载状态）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B945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68C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2235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商务车</w:t>
            </w:r>
          </w:p>
          <w:p w14:paraId="16FB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（7座）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C8C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别克GL8或同类档次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4C07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配驾驶员：680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14AA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41ED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C13D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E68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6460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9ADA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77A1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不配驾驶员：480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524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车辆能源费用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（如汽油\柴油费用，充电费用等车辆交付使用时车辆使用能源应为满载状态）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EC7D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E13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052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中型普通客车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807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713C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配驾驶员：800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1F1E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72B3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C0BA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6A0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598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381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15—19座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50FD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配驾驶员：1200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75E6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4B57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3D3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1.广州、深圳每晚300元</w:t>
            </w:r>
          </w:p>
          <w:p w14:paraId="1210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2.地市级每晚240元</w:t>
            </w:r>
          </w:p>
          <w:p w14:paraId="090D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3.县级市每晚200元。</w:t>
            </w:r>
          </w:p>
        </w:tc>
      </w:tr>
      <w:tr w14:paraId="136C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25A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661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33-45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3D17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配驾驶员：1350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03A3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032A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3050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1E5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472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07D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49-53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7FE7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配驾驶员：1500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3DAB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52ED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B6B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0509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以人民币为单位报价。以上最高限价包括但不限于车辆租金、限时内司机费用、里程内燃油费、车辆运行时所发生的车辆折旧、违章罚款、维修费、保养费、燃油费、保险费、管理费、服务费、通讯费、人员薪资、司机超时加班费、节假日加班费等，不含司机住宿费、停车费、路桥费。成交供应商以其报价作为履约执行价（封顶价），成交供应商也可以在结算时另外给予价格优惠。</w:t>
      </w:r>
    </w:p>
    <w:p w14:paraId="1DE6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供应商价格（日租金额）不得超出对应车型的最高限价。否则，其将被拒绝。</w:t>
      </w:r>
    </w:p>
    <w:p w14:paraId="6480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报价（日租金额）必须是确定的数值，不得存在区间值（如XX～XX）。否则，其将被拒绝。</w:t>
      </w:r>
    </w:p>
    <w:p w14:paraId="52A5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2.超时和超里程单价为标准价，若同时出现超时与超里程时，累计计算费用，入围供应商统一按此标准执行，不需另行报价。</w:t>
      </w:r>
    </w:p>
    <w:p w14:paraId="7E49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3.司机住宿费按表中对应标准执行。</w:t>
      </w:r>
    </w:p>
    <w:p w14:paraId="1763E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七、服务商资质要求</w:t>
      </w:r>
    </w:p>
    <w:p w14:paraId="1A0A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1.符合《中华人民共和国政府采购法》第二十二条、《中华人民共和国政府采购法实施条例》第十七条和《小微型客车租赁经营服务管理办法》（交通运输部令第22号）的规定；</w:t>
      </w:r>
    </w:p>
    <w:p w14:paraId="2EB60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2.具有独立承担民事责任能力的在中华人民共和国境内注册的法人；</w:t>
      </w:r>
    </w:p>
    <w:p w14:paraId="537E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3.近三年内未被列入失信被执行人名单、重大税收违法案件当事人名单、政府采购严重违法失信行为记录名单，无受到政府采购行政处罚且相关信用惩戒期限未满情形；</w:t>
      </w:r>
    </w:p>
    <w:p w14:paraId="4747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4.本项目不接受联合体投标；不允许转包、分包。</w:t>
      </w:r>
    </w:p>
    <w:p w14:paraId="2CDEA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、项目成交原则</w:t>
      </w:r>
    </w:p>
    <w:p w14:paraId="7660A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在符合采购需求、质量和服务的前提下，以综合评分法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确定成交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采购评审小组按照《江门市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公务用车租赁服务采购项目综合评分标准》（见附表）综合评分，按总评分排名确定1家租赁服务商。</w:t>
      </w:r>
    </w:p>
    <w:p w14:paraId="09120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、项目付款方式</w:t>
      </w:r>
    </w:p>
    <w:p w14:paraId="2953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根据实际公务用车使用需求，按实际产生费用结算，每季度结算一次。</w:t>
      </w:r>
    </w:p>
    <w:p w14:paraId="31ABC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、项目报价材料</w:t>
      </w:r>
    </w:p>
    <w:p w14:paraId="52C4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1.法定代表人身份证复印件（加盖单位公章）；</w:t>
      </w:r>
    </w:p>
    <w:p w14:paraId="1172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2.有效的经营许可证明、营业执照和税务登记证复印件（加盖单位公章）；</w:t>
      </w:r>
    </w:p>
    <w:p w14:paraId="344A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3.报价单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（见下附件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，含小轿车、商务车、新能源车、中型普通客车、大客车日租赁金额（包8小时，200千米）；</w:t>
      </w:r>
    </w:p>
    <w:p w14:paraId="358A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4.车辆情况（车型、保险资料及车辆外观、内饰图片）；</w:t>
      </w:r>
    </w:p>
    <w:p w14:paraId="1533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5.公司业绩及服务人员情况；</w:t>
      </w:r>
    </w:p>
    <w:p w14:paraId="552B8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6.响应时间及提供租车服务时间的承诺书；</w:t>
      </w:r>
    </w:p>
    <w:p w14:paraId="558B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7.其他证明资料。</w:t>
      </w:r>
    </w:p>
    <w:p w14:paraId="0E006317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1DE55C4C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6759EFAF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3FB0AE07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57FEA022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24C6D045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5A55E078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0D3C6E95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101D4C65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5B7EE8D5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p w14:paraId="7F2BACFD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附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件</w:t>
      </w:r>
    </w:p>
    <w:p w14:paraId="52BBDA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不同车型租赁报价单</w:t>
      </w:r>
    </w:p>
    <w:p w14:paraId="3785A07D">
      <w:pPr>
        <w:jc w:val="left"/>
        <w:rPr>
          <w:rFonts w:hint="default" w:ascii="方正小标宋简体" w:hAnsi="方正小标宋简体" w:eastAsia="微软雅黑" w:cs="方正小标宋简体"/>
          <w:sz w:val="44"/>
          <w:szCs w:val="44"/>
          <w:u w:val="none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供应商名称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                    </w:t>
      </w:r>
    </w:p>
    <w:tbl>
      <w:tblPr>
        <w:tblStyle w:val="3"/>
        <w:tblW w:w="9604" w:type="dxa"/>
        <w:tblInd w:w="-3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515"/>
        <w:gridCol w:w="2940"/>
        <w:gridCol w:w="3075"/>
      </w:tblGrid>
      <w:tr w14:paraId="4DC79A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74" w:type="dxa"/>
            <w:noWrap w:val="0"/>
            <w:vAlign w:val="center"/>
          </w:tcPr>
          <w:p w14:paraId="01D9F7B6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  <w:t>类别</w:t>
            </w:r>
          </w:p>
        </w:tc>
        <w:tc>
          <w:tcPr>
            <w:tcW w:w="1515" w:type="dxa"/>
            <w:noWrap w:val="0"/>
            <w:vAlign w:val="center"/>
          </w:tcPr>
          <w:p w14:paraId="3C1462E8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  <w:t>座位数</w:t>
            </w:r>
          </w:p>
        </w:tc>
        <w:tc>
          <w:tcPr>
            <w:tcW w:w="2940" w:type="dxa"/>
            <w:noWrap w:val="0"/>
            <w:vAlign w:val="center"/>
          </w:tcPr>
          <w:p w14:paraId="75BE4725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  <w:t>租赁价</w:t>
            </w:r>
          </w:p>
        </w:tc>
        <w:tc>
          <w:tcPr>
            <w:tcW w:w="3075" w:type="dxa"/>
            <w:noWrap w:val="0"/>
            <w:vAlign w:val="center"/>
          </w:tcPr>
          <w:p w14:paraId="4A1B6D0A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b/>
                <w:kern w:val="0"/>
                <w:sz w:val="30"/>
                <w:szCs w:val="30"/>
              </w:rPr>
              <w:t>备注</w:t>
            </w:r>
          </w:p>
        </w:tc>
      </w:tr>
      <w:tr w14:paraId="2640DF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74" w:type="dxa"/>
            <w:vMerge w:val="restart"/>
            <w:noWrap w:val="0"/>
            <w:vAlign w:val="center"/>
          </w:tcPr>
          <w:p w14:paraId="592074B8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小轿车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4B3AD8F6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5座</w:t>
            </w:r>
          </w:p>
        </w:tc>
        <w:tc>
          <w:tcPr>
            <w:tcW w:w="2940" w:type="dxa"/>
            <w:noWrap w:val="0"/>
            <w:vAlign w:val="center"/>
          </w:tcPr>
          <w:p w14:paraId="29431B4C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 xml:space="preserve">配司机：  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元/日</w:t>
            </w:r>
          </w:p>
        </w:tc>
        <w:tc>
          <w:tcPr>
            <w:tcW w:w="3075" w:type="dxa"/>
            <w:vMerge w:val="restart"/>
            <w:noWrap w:val="0"/>
            <w:vAlign w:val="center"/>
          </w:tcPr>
          <w:p w14:paraId="450F73EA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配司机费用：租赁价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包含8小时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司机服务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和200公里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不包含路桥费、停车费、住宿费。</w:t>
            </w:r>
          </w:p>
          <w:p w14:paraId="5FDB5C17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0BB9EDFE">
            <w:pPr>
              <w:widowControl/>
              <w:spacing w:line="480" w:lineRule="exact"/>
              <w:jc w:val="both"/>
              <w:rPr>
                <w:rFonts w:hint="default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不配司机费用：租赁价纯租车价及接送车费用，不含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车辆能源费用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、路桥费、停车费。</w:t>
            </w:r>
          </w:p>
        </w:tc>
      </w:tr>
      <w:tr w14:paraId="21EA8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74" w:type="dxa"/>
            <w:vMerge w:val="continue"/>
            <w:noWrap w:val="0"/>
            <w:vAlign w:val="center"/>
          </w:tcPr>
          <w:p w14:paraId="59AB7384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587080D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77076AE">
            <w:pPr>
              <w:widowControl/>
              <w:spacing w:line="480" w:lineRule="exact"/>
              <w:jc w:val="center"/>
              <w:rPr>
                <w:rFonts w:hint="default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 xml:space="preserve">不配司机：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元/日</w:t>
            </w:r>
          </w:p>
        </w:tc>
        <w:tc>
          <w:tcPr>
            <w:tcW w:w="3075" w:type="dxa"/>
            <w:vMerge w:val="continue"/>
            <w:noWrap w:val="0"/>
            <w:vAlign w:val="center"/>
          </w:tcPr>
          <w:p w14:paraId="6826B205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</w:tr>
      <w:tr w14:paraId="23DE5A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74" w:type="dxa"/>
            <w:vMerge w:val="restart"/>
            <w:noWrap w:val="0"/>
            <w:vAlign w:val="center"/>
          </w:tcPr>
          <w:p w14:paraId="58537875">
            <w:pPr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商务车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74671E31">
            <w:pPr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7座</w:t>
            </w:r>
          </w:p>
        </w:tc>
        <w:tc>
          <w:tcPr>
            <w:tcW w:w="2940" w:type="dxa"/>
            <w:noWrap w:val="0"/>
            <w:vAlign w:val="center"/>
          </w:tcPr>
          <w:p w14:paraId="1381B4AD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配司机：  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  <w:u w:val="single"/>
              </w:rPr>
              <w:t>元/日</w:t>
            </w:r>
          </w:p>
        </w:tc>
        <w:tc>
          <w:tcPr>
            <w:tcW w:w="3075" w:type="dxa"/>
            <w:vMerge w:val="continue"/>
            <w:noWrap w:val="0"/>
            <w:vAlign w:val="center"/>
          </w:tcPr>
          <w:p w14:paraId="17289936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</w:tr>
      <w:tr w14:paraId="631597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74" w:type="dxa"/>
            <w:vMerge w:val="continue"/>
            <w:noWrap w:val="0"/>
            <w:vAlign w:val="center"/>
          </w:tcPr>
          <w:p w14:paraId="25A7F858">
            <w:pPr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35F013BB">
            <w:pPr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1F00EF98">
            <w:pPr>
              <w:widowControl/>
              <w:spacing w:line="480" w:lineRule="exact"/>
              <w:jc w:val="center"/>
              <w:rPr>
                <w:rFonts w:hint="default" w:ascii="宋体" w:hAnsi="宋体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不配司机：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  <w:u w:val="single"/>
              </w:rPr>
              <w:t>元/日</w:t>
            </w:r>
          </w:p>
        </w:tc>
        <w:tc>
          <w:tcPr>
            <w:tcW w:w="3075" w:type="dxa"/>
            <w:vMerge w:val="continue"/>
            <w:noWrap w:val="0"/>
            <w:vAlign w:val="center"/>
          </w:tcPr>
          <w:p w14:paraId="3BC86D16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</w:tr>
      <w:tr w14:paraId="42FE99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074" w:type="dxa"/>
            <w:noWrap w:val="0"/>
            <w:vAlign w:val="center"/>
          </w:tcPr>
          <w:p w14:paraId="7CC846CD">
            <w:pPr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中型普通客车</w:t>
            </w:r>
          </w:p>
        </w:tc>
        <w:tc>
          <w:tcPr>
            <w:tcW w:w="1515" w:type="dxa"/>
            <w:noWrap w:val="0"/>
            <w:vAlign w:val="center"/>
          </w:tcPr>
          <w:p w14:paraId="50F9B1E9">
            <w:pPr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11座</w:t>
            </w:r>
          </w:p>
        </w:tc>
        <w:tc>
          <w:tcPr>
            <w:tcW w:w="2940" w:type="dxa"/>
            <w:noWrap w:val="0"/>
            <w:vAlign w:val="center"/>
          </w:tcPr>
          <w:p w14:paraId="1B88E438">
            <w:pPr>
              <w:widowControl/>
              <w:spacing w:line="480" w:lineRule="exact"/>
              <w:jc w:val="center"/>
              <w:rPr>
                <w:rFonts w:hint="default" w:ascii="宋体" w:hAnsi="宋体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配司机：  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  <w:u w:val="single"/>
              </w:rPr>
              <w:t>元/日</w:t>
            </w:r>
          </w:p>
        </w:tc>
        <w:tc>
          <w:tcPr>
            <w:tcW w:w="3075" w:type="dxa"/>
            <w:vMerge w:val="continue"/>
            <w:noWrap w:val="0"/>
            <w:vAlign w:val="center"/>
          </w:tcPr>
          <w:p w14:paraId="2A1DED8F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</w:rPr>
            </w:pPr>
          </w:p>
        </w:tc>
      </w:tr>
      <w:tr w14:paraId="6A8FE9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74" w:type="dxa"/>
            <w:noWrap w:val="0"/>
            <w:vAlign w:val="center"/>
          </w:tcPr>
          <w:p w14:paraId="77B36B77"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中巴</w:t>
            </w:r>
          </w:p>
        </w:tc>
        <w:tc>
          <w:tcPr>
            <w:tcW w:w="1515" w:type="dxa"/>
            <w:noWrap w:val="0"/>
            <w:vAlign w:val="center"/>
          </w:tcPr>
          <w:p w14:paraId="51524AC1"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15—19座</w:t>
            </w:r>
          </w:p>
        </w:tc>
        <w:tc>
          <w:tcPr>
            <w:tcW w:w="2940" w:type="dxa"/>
            <w:noWrap w:val="0"/>
            <w:vAlign w:val="center"/>
          </w:tcPr>
          <w:p w14:paraId="7F6BDD30"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 xml:space="preserve">配司机：  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元/日</w:t>
            </w:r>
          </w:p>
        </w:tc>
        <w:tc>
          <w:tcPr>
            <w:tcW w:w="3075" w:type="dxa"/>
            <w:vMerge w:val="continue"/>
            <w:noWrap w:val="0"/>
            <w:vAlign w:val="center"/>
          </w:tcPr>
          <w:p w14:paraId="6C58F7EA"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8490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74" w:type="dxa"/>
            <w:noWrap w:val="0"/>
            <w:vAlign w:val="center"/>
          </w:tcPr>
          <w:p w14:paraId="1DDC0E63">
            <w:pPr>
              <w:widowControl/>
              <w:spacing w:line="480" w:lineRule="exact"/>
              <w:jc w:val="center"/>
              <w:rPr>
                <w:rFonts w:hint="default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大巴</w:t>
            </w:r>
          </w:p>
        </w:tc>
        <w:tc>
          <w:tcPr>
            <w:tcW w:w="1515" w:type="dxa"/>
            <w:noWrap w:val="0"/>
            <w:vAlign w:val="center"/>
          </w:tcPr>
          <w:p w14:paraId="690D700A">
            <w:pPr>
              <w:widowControl/>
              <w:spacing w:line="480" w:lineRule="exact"/>
              <w:jc w:val="center"/>
              <w:rPr>
                <w:rFonts w:hint="default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33-45</w:t>
            </w:r>
          </w:p>
        </w:tc>
        <w:tc>
          <w:tcPr>
            <w:tcW w:w="2940" w:type="dxa"/>
            <w:noWrap w:val="0"/>
            <w:vAlign w:val="center"/>
          </w:tcPr>
          <w:p w14:paraId="0FF18464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 xml:space="preserve">配司机：  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元/日</w:t>
            </w:r>
          </w:p>
        </w:tc>
        <w:tc>
          <w:tcPr>
            <w:tcW w:w="3075" w:type="dxa"/>
            <w:vMerge w:val="continue"/>
            <w:noWrap w:val="0"/>
            <w:vAlign w:val="center"/>
          </w:tcPr>
          <w:p w14:paraId="5AE65E2C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5F31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74" w:type="dxa"/>
            <w:noWrap w:val="0"/>
            <w:vAlign w:val="center"/>
          </w:tcPr>
          <w:p w14:paraId="37300009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大巴</w:t>
            </w:r>
          </w:p>
        </w:tc>
        <w:tc>
          <w:tcPr>
            <w:tcW w:w="1515" w:type="dxa"/>
            <w:noWrap w:val="0"/>
            <w:vAlign w:val="center"/>
          </w:tcPr>
          <w:p w14:paraId="01F166A2">
            <w:pPr>
              <w:widowControl/>
              <w:spacing w:line="480" w:lineRule="exact"/>
              <w:jc w:val="center"/>
              <w:rPr>
                <w:rFonts w:hint="default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49-53</w:t>
            </w:r>
          </w:p>
        </w:tc>
        <w:tc>
          <w:tcPr>
            <w:tcW w:w="2940" w:type="dxa"/>
            <w:noWrap w:val="0"/>
            <w:vAlign w:val="center"/>
          </w:tcPr>
          <w:p w14:paraId="0DCBD9B2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 xml:space="preserve">配司机：     </w:t>
            </w: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元/日</w:t>
            </w:r>
          </w:p>
        </w:tc>
        <w:tc>
          <w:tcPr>
            <w:tcW w:w="3075" w:type="dxa"/>
            <w:vMerge w:val="continue"/>
            <w:noWrap w:val="0"/>
            <w:vAlign w:val="center"/>
          </w:tcPr>
          <w:p w14:paraId="2F7A069E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26CA5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74" w:type="dxa"/>
            <w:noWrap w:val="0"/>
            <w:vAlign w:val="center"/>
          </w:tcPr>
          <w:p w14:paraId="4ECF55E0">
            <w:pPr>
              <w:widowControl/>
              <w:spacing w:line="480" w:lineRule="exact"/>
              <w:jc w:val="center"/>
              <w:rPr>
                <w:rFonts w:hint="default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455" w:type="dxa"/>
            <w:gridSpan w:val="2"/>
            <w:noWrap w:val="0"/>
            <w:vAlign w:val="center"/>
          </w:tcPr>
          <w:p w14:paraId="6A05CB15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30F40B18">
            <w:pPr>
              <w:widowControl/>
              <w:spacing w:line="480" w:lineRule="exact"/>
              <w:jc w:val="center"/>
              <w:rPr>
                <w:rFonts w:hint="eastAsia" w:ascii="宋体" w:hAnsi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C5F1687">
      <w:pPr>
        <w:rPr>
          <w:rFonts w:hint="default"/>
          <w:lang w:val="en-US" w:eastAsia="zh-CN"/>
        </w:rPr>
      </w:pPr>
    </w:p>
    <w:p w14:paraId="327DDDF5">
      <w:pPr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供应商代表签字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或私章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）加盖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公章：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                           </w:t>
      </w:r>
    </w:p>
    <w:p w14:paraId="206C3E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9FEA4D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不同车型租赁报价单</w:t>
      </w:r>
    </w:p>
    <w:p w14:paraId="0A93C4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C5391"/>
    <w:rsid w:val="472C5391"/>
    <w:rsid w:val="70E8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2166</Words>
  <Characters>2274</Characters>
  <Lines>0</Lines>
  <Paragraphs>0</Paragraphs>
  <TotalTime>3</TotalTime>
  <ScaleCrop>false</ScaleCrop>
  <LinksUpToDate>false</LinksUpToDate>
  <CharactersWithSpaces>2392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2026-03-12T03:03:00Z</dcterms:created>
  <dc:creator>  </dc:creator>
  <cp:lastModifiedBy>  </cp:lastModifiedBy>
  <dcterms:modified xsi:type="dcterms:W3CDTF">2026-03-12T07:52:31Z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8203044202434B8FA07748F217184502_11</vt:lpwstr>
  </property>
  <property fmtid="{D5CDD505-2E9C-101B-9397-08002B2CF9AE}" pid="4" name="KSOTemplateDocerSaveRecord">
    <vt:lpwstr>eyJoZGlkIjoiNjI4MGFhMzNkNWViMDFkODMyYzBmYmY3MjUyOWZjODUiLCJ1c2VySWQiOiIzNzE4MDk3NDIifQ==</vt:lpwstr>
  </property>
</Properties>
</file>