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028C">
      <w:pPr>
        <w:pStyle w:val="11"/>
        <w:keepLines w:val="0"/>
        <w:pageBreakBefore w:val="0"/>
        <w:widowControl w:val="0"/>
        <w:kinsoku/>
        <w:wordWrap/>
        <w:autoSpaceDE/>
        <w:autoSpaceDN/>
        <w:bidi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全院导视系统与文化环境建设设计、制作及安装服务项目采购需求调查表</w:t>
      </w:r>
    </w:p>
    <w:p w14:paraId="5BBFA46E">
      <w:pPr>
        <w:pStyle w:val="11"/>
        <w:keepLines w:val="0"/>
        <w:pageBreakBefore w:val="0"/>
        <w:widowControl w:val="0"/>
        <w:kinsoku/>
        <w:wordWrap/>
        <w:autoSpaceDE/>
        <w:autoSpaceDN/>
        <w:bidi w:val="0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0ADECB9">
      <w:pPr>
        <w:pStyle w:val="11"/>
        <w:keepLines w:val="0"/>
        <w:pageBreakBefore w:val="0"/>
        <w:widowControl w:val="0"/>
        <w:kinsoku/>
        <w:wordWrap/>
        <w:autoSpaceDE/>
        <w:autoSpaceDN/>
        <w:bidi w:val="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为科学、合理地编制我院“全院导视系统与文化环境建设设计、制作及安装服务”项目采购需求，优化采购文件及评审标准，确保采购过程的公平、公正和竞争充分，现特开展本次采购需求调查。请各相关单位结合市场实际情况与自身专业经验，如实、完整地填写本调查表。贵单位所提的意见与建议，将作为我院编制最终采购需求的重要参考依据。</w:t>
      </w:r>
    </w:p>
    <w:p w14:paraId="4802C727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40"/>
        <w:textAlignment w:val="auto"/>
        <w:rPr>
          <w:b w:val="0"/>
          <w:color w:val="auto"/>
        </w:rPr>
      </w:pPr>
      <w:r>
        <w:rPr>
          <w:rFonts w:hint="eastAsia"/>
          <w:color w:val="auto"/>
          <w:lang w:eastAsia="zh-CN"/>
        </w:rPr>
        <w:t>一、</w:t>
      </w:r>
      <w:r>
        <w:rPr>
          <w:color w:val="auto"/>
        </w:rPr>
        <w:t>项目基本信息</w:t>
      </w:r>
    </w:p>
    <w:p w14:paraId="62609967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16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19"/>
          <w:rFonts w:hint="eastAsia" w:eastAsia="楷体_GB2312"/>
          <w:color w:val="auto"/>
          <w:lang w:eastAsia="zh-CN"/>
        </w:rPr>
        <w:t>（一）</w:t>
      </w:r>
      <w:r>
        <w:rPr>
          <w:rStyle w:val="19"/>
          <w:color w:val="auto"/>
        </w:rPr>
        <w:t>项目名称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江门市妇幼保健院全院导视系统与文化环境建设设计、制作及安装服务项目</w:t>
      </w:r>
    </w:p>
    <w:p w14:paraId="69B02923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color w:val="auto"/>
          <w:lang w:eastAsia="zh-CN"/>
        </w:rPr>
        <w:t>（二）</w:t>
      </w:r>
      <w:r>
        <w:rPr>
          <w:rStyle w:val="19"/>
          <w:color w:val="auto"/>
        </w:rPr>
        <w:t>项目预算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440万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元（人民币）</w:t>
      </w:r>
    </w:p>
    <w:p w14:paraId="7AB6691E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16"/>
        <w:textAlignment w:val="auto"/>
        <w:rPr>
          <w:rFonts w:hint="eastAsia" w:ascii="Times New Roman" w:hAnsi="Times New Roman" w:eastAsia="楷体_GB2312" w:cs="仿宋_GB2312"/>
          <w:b w:val="0"/>
          <w:color w:val="auto"/>
          <w:sz w:val="32"/>
          <w:szCs w:val="32"/>
          <w:lang w:eastAsia="zh-CN"/>
        </w:rPr>
      </w:pPr>
      <w:r>
        <w:rPr>
          <w:rStyle w:val="19"/>
          <w:rFonts w:hint="eastAsia" w:eastAsia="楷体_GB2312"/>
          <w:color w:val="auto"/>
          <w:lang w:eastAsia="zh-CN"/>
        </w:rPr>
        <w:t>（三）</w:t>
      </w:r>
      <w:r>
        <w:rPr>
          <w:rStyle w:val="19"/>
          <w:color w:val="auto"/>
        </w:rPr>
        <w:t>采购标的</w:t>
      </w:r>
      <w:r>
        <w:rPr>
          <w:rFonts w:hint="eastAsia" w:cs="仿宋_GB2312"/>
          <w:color w:val="auto"/>
          <w:sz w:val="32"/>
          <w:szCs w:val="32"/>
          <w:lang w:eastAsia="zh-CN"/>
        </w:rPr>
        <w:t>：全院区导视系统与文化环境建设的全流程服务，包括但不限于概念策划、方案深化设计、制作、运输、安装、相关辅材及最终验收交付。</w:t>
      </w:r>
    </w:p>
    <w:p w14:paraId="2BD4A07D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color w:val="auto"/>
          <w:lang w:eastAsia="zh-CN"/>
        </w:rPr>
        <w:t>（四）</w:t>
      </w:r>
      <w:r>
        <w:rPr>
          <w:rStyle w:val="19"/>
          <w:color w:val="auto"/>
        </w:rPr>
        <w:t>使用场景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全院区（各建筑单体内部公共空间、诊疗区域、办公区域、室外环境等），需特别考虑儿童患者群体的使用安全与心理感受。</w:t>
      </w:r>
    </w:p>
    <w:p w14:paraId="4BFC4699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16"/>
        <w:textAlignment w:val="auto"/>
        <w:rPr>
          <w:rFonts w:hint="default" w:ascii="Times New Roman" w:hAnsi="Times New Roman" w:eastAsia="仿宋_GB2312" w:cs="仿宋_GB2312"/>
          <w:b w:val="0"/>
          <w:sz w:val="32"/>
          <w:szCs w:val="32"/>
          <w:lang w:val="en-US" w:eastAsia="zh-CN"/>
        </w:rPr>
      </w:pPr>
      <w:r>
        <w:rPr>
          <w:rStyle w:val="19"/>
          <w:rFonts w:hint="eastAsia" w:eastAsia="楷体_GB2312"/>
          <w:lang w:eastAsia="zh-CN"/>
        </w:rPr>
        <w:t>（五）</w:t>
      </w:r>
      <w:r>
        <w:rPr>
          <w:rStyle w:val="19"/>
        </w:rPr>
        <w:t>采购方式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cs="仿宋_GB2312"/>
          <w:sz w:val="32"/>
          <w:szCs w:val="32"/>
          <w:lang w:val="en-US" w:eastAsia="zh-CN"/>
        </w:rPr>
        <w:t>政府采购</w:t>
      </w:r>
    </w:p>
    <w:p w14:paraId="12FEAD06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二、</w:t>
      </w:r>
      <w:r>
        <w:t>供应商基本信息</w:t>
      </w:r>
    </w:p>
    <w:tbl>
      <w:tblPr>
        <w:tblStyle w:val="16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4"/>
        <w:gridCol w:w="2743"/>
        <w:gridCol w:w="5336"/>
      </w:tblGrid>
      <w:tr w14:paraId="2CEB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06C03E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271886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信息项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BACF62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填写内容</w:t>
            </w:r>
          </w:p>
        </w:tc>
      </w:tr>
      <w:tr w14:paraId="4961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E5238DA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CFB02A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供应商名称（全称）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A8CB526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7C28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611B0E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14B3EB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统一社会信用代码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90D16F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4490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2E3B20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4051AC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资质类型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E7CFCF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制造商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经销商（经销商请注明所代理品牌）</w:t>
            </w:r>
          </w:p>
        </w:tc>
      </w:tr>
      <w:tr w14:paraId="73A5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41E72A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65DC30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注册地址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DDF6FD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3698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8464F7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CBEFB4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联系地址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94E7AA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2463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D55171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4A84964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项目联系人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40E728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680E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E1D62C1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19C5F7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29039F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496B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89B458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8F6835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06B0BB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  <w:tr w14:paraId="73EC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684C35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0" w:type="auto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E64218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是否为中小微企业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F2204A3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是（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小型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微型）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否（附相关证明材料）</w:t>
            </w:r>
          </w:p>
        </w:tc>
      </w:tr>
      <w:tr w14:paraId="2431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64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827CD8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274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B6DF3B4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其他资质说明（可选）</w:t>
            </w:r>
          </w:p>
        </w:tc>
        <w:tc>
          <w:tcPr>
            <w:tcW w:w="533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11454D">
            <w:pPr>
              <w:keepNext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22"/>
              </w:rPr>
            </w:pPr>
          </w:p>
        </w:tc>
      </w:tr>
    </w:tbl>
    <w:p w14:paraId="693B40F7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三、</w:t>
      </w:r>
      <w:r>
        <w:rPr>
          <w:rFonts w:hint="eastAsia"/>
          <w:color w:val="auto"/>
          <w:sz w:val="32"/>
          <w:szCs w:val="32"/>
          <w:lang w:val="en-US" w:eastAsia="zh-CN"/>
        </w:rPr>
        <w:t>服务</w:t>
      </w:r>
      <w:r>
        <w:rPr>
          <w:color w:val="auto"/>
          <w:sz w:val="32"/>
          <w:szCs w:val="32"/>
        </w:rPr>
        <w:t>技术需求反馈</w:t>
      </w:r>
    </w:p>
    <w:p w14:paraId="7D6A4C50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本项目现有《导视系统规范设计手册》作为基础，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结合实地环境风格。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具体落地设计方案、材质、工艺等需投标方深化。请结合市场实现能力与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行业经验反馈以下内容：</w:t>
      </w:r>
    </w:p>
    <w:p w14:paraId="3EE71AE1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5A707B89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对实现《导视系统规范设计手册》要求并延展至全院文化环境建设的整体可行性评价：□完全可行 □部分可行 □有较大难度（若选后两项，请详细说明难点及市场实际情况）。</w:t>
      </w:r>
    </w:p>
    <w:p w14:paraId="0AB585DF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22759B87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核心物料技术参数的建议：请针对不同应用场景（如门诊大厅、病房走廊、儿童健康大楼、室外区域等），就以下方面提出具体材质、工艺、安全性能（特别是儿童防碰撞、环保无毒、耐擦洗、防火等级等）的推荐方案及依据：</w:t>
      </w:r>
    </w:p>
    <w:p w14:paraId="019A2606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0887B2F9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各类导向标识（立地式、吊挂式、贴墙式等）的基材、涂层、印刷工艺。</w:t>
      </w:r>
    </w:p>
    <w:p w14:paraId="409C2E8C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3F1FCB16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文化墙、科普展板、艺术装置的材质、制作工艺及安装方式。灯光标识、数字标牌等特殊标识的选型建议。</w:t>
      </w:r>
    </w:p>
    <w:p w14:paraId="32DFDEC4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7B5D1424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对设计深化的建议：在仅有规范手册而无具体方案的情况下，对“全院整体氛围营造与主题化设计”及“儿童健康大楼文</w:t>
      </w:r>
      <w:r>
        <w:rPr>
          <w:rFonts w:hint="eastAsia" w:ascii="仿宋_GB2312" w:hAnsi="仿宋_GB2312" w:eastAsia="仿宋_GB2312" w:cs="仿宋_GB2312"/>
          <w:color w:val="auto"/>
          <w:spacing wpsCustomData:val="22" w:val="28"/>
          <w:sz w:val="32"/>
          <w:szCs w:val="32"/>
        </w:rPr>
        <w:t>化环境建</w:t>
      </w:r>
      <w:r>
        <w:rPr>
          <w:rFonts w:hint="eastAsia" w:ascii="仿宋_GB2312" w:hAnsi="仿宋_GB2312" w:eastAsia="仿宋_GB2312" w:cs="仿宋_GB2312"/>
          <w:color w:val="auto"/>
          <w:spacing wpsCustomData:val="23" w:val="29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color w:val="auto"/>
          <w:spacing wpsCustomData:val="22" w:val="29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pacing wpsCustomData:val="22" w:val="28"/>
          <w:sz w:val="32"/>
          <w:szCs w:val="32"/>
        </w:rPr>
        <w:t>的实施路径</w:t>
      </w:r>
      <w:r>
        <w:rPr>
          <w:rFonts w:hint="eastAsia" w:ascii="仿宋_GB2312" w:hAnsi="仿宋_GB2312" w:eastAsia="仿宋_GB2312" w:cs="仿宋_GB2312"/>
          <w:color w:val="auto"/>
          <w:spacing wpsCustomData:val="23" w:val="29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psCustomData:val="22" w:val="29"/>
          <w:sz w:val="32"/>
          <w:szCs w:val="32"/>
        </w:rPr>
        <w:t>工作量评估及合理设计周期</w:t>
      </w:r>
      <w:r>
        <w:rPr>
          <w:rFonts w:hint="eastAsia" w:ascii="仿宋_GB2312" w:hAnsi="仿宋_GB2312" w:eastAsia="仿宋_GB2312" w:cs="仿宋_GB2312"/>
          <w:color w:val="auto"/>
          <w:spacing wpsCustomData:val="-6" w:val="-6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建议。</w:t>
      </w:r>
    </w:p>
    <w:p w14:paraId="73F5EA93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1EB9B6FB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其他技术补充建议：针对医院复杂环境（人流量大、需频繁消毒、安全要求高）和儿童友好需求，在材质耐久性、后期维护便利性、设计互动性等方面的建议。</w:t>
      </w:r>
    </w:p>
    <w:p w14:paraId="5755ADE2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736E3C1A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商务需求反馈</w:t>
      </w:r>
    </w:p>
    <w:p w14:paraId="6AEA12B7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请结合文化环境建设与标识工程项目惯例及医院运营实际，对本项目商务环节提出合理化建议：</w:t>
      </w:r>
    </w:p>
    <w:p w14:paraId="4D3A075F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780B788C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项目合理工期建议：请分别就方案深化设计阶段、制作与安装阶段，提出自合同签订之日起的合理完成期限（天数）及依据。总工期建议：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天。</w:t>
      </w:r>
    </w:p>
    <w:p w14:paraId="7D91A7DD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3329DA37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付款方式建议：对本项目（可能涉及预付款、方案设计完成付款、制作完成付款、安装验收合格付款、质保金等）的付款节点、比例提出具体建议。</w:t>
      </w:r>
    </w:p>
    <w:p w14:paraId="79D8D3BF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03EE4FD8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保修与售后服务建议：提出合理的整体保修期限（建议不低于2年）。明确核心售后服务内容，如：维修响应时间（如2小时电话响应，24小时到场）、损坏部件更换周期、定期巡检、清洁保养建议等。</w:t>
      </w:r>
    </w:p>
    <w:p w14:paraId="0F01402C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4BB2EDAB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物流、安装与成品保护建议：针对医院环境（需避免影响正常医疗秩序、保护现有装修），对物料运输、现场安装作业时间、成品保护措施提出优化建议。</w:t>
      </w:r>
    </w:p>
    <w:p w14:paraId="07179487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43AE4633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验收流程建议：对分阶段验收（如设计方案确认、样品确认、中期验收、最终验收）的流程、标准提出具体建议。</w:t>
      </w:r>
    </w:p>
    <w:p w14:paraId="4C500839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1DAB498F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五、</w:t>
      </w:r>
      <w:r>
        <w:rPr>
          <w:color w:val="auto"/>
          <w:sz w:val="32"/>
          <w:szCs w:val="32"/>
        </w:rPr>
        <w:t>评分标准建议</w:t>
      </w:r>
    </w:p>
    <w:p w14:paraId="2682E4C3"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本项目拟采用综合评分法（价格部分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分、商务部分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分</w:t>
      </w:r>
      <w:r>
        <w:rPr>
          <w:rFonts w:ascii="Times New Roman" w:hAnsi="Times New Roman" w:eastAsia="仿宋_GB2312" w:cs="仿宋_GB2312"/>
          <w:color w:val="auto"/>
          <w:spacing wpsCustomData:val="12" w:val="22"/>
          <w:sz w:val="32"/>
          <w:szCs w:val="32"/>
        </w:rPr>
        <w:t>、技术部分</w:t>
      </w:r>
      <w:r>
        <w:rPr>
          <w:rFonts w:hint="eastAsia" w:cs="仿宋_GB2312"/>
          <w:color w:val="auto"/>
          <w:spacing wpsCustomData:val="-6" w:val="-6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仿宋_GB2312" w:cs="仿宋_GB2312"/>
          <w:color w:val="auto"/>
          <w:spacing wpsCustomData:val="12" w:val="22"/>
          <w:sz w:val="32"/>
          <w:szCs w:val="32"/>
        </w:rPr>
        <w:t>分），请结合行业特点反馈评分标准优</w:t>
      </w:r>
      <w:r>
        <w:rPr>
          <w:rFonts w:ascii="Times New Roman" w:hAnsi="Times New Roman" w:eastAsia="仿宋_GB2312" w:cs="仿宋_GB2312"/>
          <w:color w:val="auto"/>
          <w:spacing wpsCustomData:val="-6" w:val="-6"/>
          <w:sz w:val="32"/>
          <w:szCs w:val="32"/>
        </w:rPr>
        <w:t>化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建议：</w:t>
      </w:r>
    </w:p>
    <w:p w14:paraId="73BF6B44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对本次采购项目评分因素及分值分配的整体合理性评价：</w:t>
      </w:r>
      <w:r>
        <w:rPr>
          <w:rFonts w:hint="eastAsia" w:cs="仿宋_GB2312"/>
          <w:color w:val="auto"/>
          <w:sz w:val="32"/>
          <w:szCs w:val="32"/>
          <w:lang w:eastAsia="zh-CN"/>
        </w:rPr>
        <w:t>□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合理 </w:t>
      </w:r>
      <w:r>
        <w:rPr>
          <w:rFonts w:hint="eastAsia" w:cs="仿宋_GB2312"/>
          <w:color w:val="auto"/>
          <w:sz w:val="32"/>
          <w:szCs w:val="32"/>
          <w:lang w:eastAsia="zh-CN"/>
        </w:rPr>
        <w:t>□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需调整（说明调整思路及依据）</w:t>
      </w:r>
    </w:p>
    <w:p w14:paraId="0869652B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1BEBF8DE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对商务部分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商务部分可能考察：企业综合实力（资质、认证）、同类项目业绩（特别是医院、文化展陈类项目）、项目团队配置、售后服务方案、成品保护与安装实施方案等。请对各细分项分值设置提出建议。</w:t>
      </w:r>
    </w:p>
    <w:p w14:paraId="246D9DA2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57FF9F8E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技术部分可能考察：对本项目需求的理解与分析、整体及重点空间概念设计方案、深化设计方案（含材料样板、工艺说明）、儿童友好与安全设计、投标样品质量、项目整体实施流程合理性等。请对各细分项分值设置及评审要点提出建议。</w:t>
      </w:r>
    </w:p>
    <w:p w14:paraId="4967A1C5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01F13F1C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cs="仿宋_GB2312"/>
          <w:color w:val="auto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其他评分标准（如评审指标、评分细则、佐证材料要求等）的补充建议：</w:t>
      </w:r>
    </w:p>
    <w:p w14:paraId="3A2B1942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55FE254C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六、</w:t>
      </w:r>
      <w:r>
        <w:rPr>
          <w:color w:val="auto"/>
          <w:sz w:val="32"/>
          <w:szCs w:val="32"/>
        </w:rPr>
        <w:t>市场信息反馈</w:t>
      </w:r>
    </w:p>
    <w:p w14:paraId="181D608A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请提供近2-3年国内同等级别医院或大型公共机构在“全院性导视系统”与“文化环境建设”方面的单项目成交金额区间，或分项（如设计费、标识制作安装费、文化墙每平米造价等）的市场单价参考。</w:t>
      </w:r>
    </w:p>
    <w:p w14:paraId="2CA543A7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61EB1621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预算合理性评价：结合上述市场信息，对本项目440万元预算的合理性进行评价，并对实现高、中、低不同性价比效果所需的预算区间提出建议。</w:t>
      </w:r>
    </w:p>
    <w:p w14:paraId="46282F31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45709966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市场供给情况：说明当前市场主流服务提供商类型（设计公司、广告公司、装饰工程公司）、其集成服务能力、跨区域服务能力及典型项目周期。</w:t>
      </w:r>
    </w:p>
    <w:p w14:paraId="281DCCF0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38C23B40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提供导视系统与文化环境设施常规维护、内容更新、局部改造的市场价格及服务模式参考。</w:t>
      </w:r>
    </w:p>
    <w:p w14:paraId="53ABE2B3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484FF859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七、</w:t>
      </w:r>
      <w:r>
        <w:rPr>
          <w:color w:val="auto"/>
          <w:sz w:val="32"/>
          <w:szCs w:val="32"/>
        </w:rPr>
        <w:t>其他意见与建议</w:t>
      </w:r>
    </w:p>
    <w:p w14:paraId="0F24F380"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除上述内容外，对本项目采购需求、采购实施的其他合理化意见与建议：</w:t>
      </w:r>
    </w:p>
    <w:p w14:paraId="3238F0F0">
      <w:pPr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textAlignment w:val="auto"/>
        <w:rPr>
          <w:color w:val="auto"/>
          <w:sz w:val="32"/>
          <w:szCs w:val="32"/>
        </w:rPr>
      </w:pPr>
    </w:p>
    <w:p w14:paraId="1D99EF11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八、</w:t>
      </w:r>
      <w:r>
        <w:rPr>
          <w:color w:val="auto"/>
          <w:sz w:val="32"/>
          <w:szCs w:val="32"/>
        </w:rPr>
        <w:t>提交要求</w:t>
      </w:r>
    </w:p>
    <w:p w14:paraId="5F5EA1B4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本调查表需加盖供应商公章，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</w:rPr>
        <w:t>扫描件（PDF格式，清晰可辨）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及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</w:rPr>
        <w:t>电子版（Word格式）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一并提交至指定邮箱，邮件主题命名为：【儿童健康大楼家具采购】＋供应商名称＋采购需求调查表。</w:t>
      </w:r>
    </w:p>
    <w:p w14:paraId="1CF0B0CE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提交材料需真实、有效、完整，若存在虚假信息，将取消该供应商参与本项目后续采购活动的资格。</w:t>
      </w:r>
    </w:p>
    <w:p w14:paraId="7EBB765A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可附相关佐证材料（如产品检测报告、同类项目合同复印件、行业标准文件、产品彩页等），作为意见建议的补充依据，佐证材料需加盖公章并与调查表一并提交。</w:t>
      </w:r>
    </w:p>
    <w:p w14:paraId="425C73D9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本调查表为匿名统计参考的重要依据，医院将对供应商提交</w:t>
      </w:r>
      <w:r>
        <w:rPr>
          <w:rFonts w:ascii="Times New Roman" w:hAnsi="Times New Roman" w:eastAsia="仿宋_GB2312" w:cs="仿宋_GB2312"/>
          <w:color w:val="auto"/>
          <w:spacing wpsCustomData:val="-6" w:val="1"/>
          <w:sz w:val="32"/>
          <w:szCs w:val="32"/>
        </w:rPr>
        <w:t>的所有信息严格保密，不用于本次采购需求调查之外的其</w:t>
      </w:r>
      <w:r>
        <w:rPr>
          <w:rFonts w:ascii="Times New Roman" w:hAnsi="Times New Roman" w:eastAsia="仿宋_GB2312" w:cs="仿宋_GB2312"/>
          <w:color w:val="auto"/>
          <w:spacing wpsCustomData:val="-6" w:val="-6"/>
          <w:sz w:val="32"/>
          <w:szCs w:val="32"/>
        </w:rPr>
        <w:t>他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用途。</w:t>
      </w:r>
    </w:p>
    <w:p w14:paraId="155FC843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5.供应商可自愿同步提交《评分标准参考方案》供参考（</w:t>
      </w:r>
      <w:r>
        <w:rPr>
          <w:rFonts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非强制提交项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）。</w:t>
      </w:r>
    </w:p>
    <w:p w14:paraId="14E6D842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九、</w:t>
      </w:r>
      <w:r>
        <w:rPr>
          <w:color w:val="auto"/>
          <w:sz w:val="32"/>
          <w:szCs w:val="32"/>
        </w:rPr>
        <w:t>反馈期限</w:t>
      </w:r>
    </w:p>
    <w:p w14:paraId="0C16E797"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自本调查表在医院官网挂网之日起</w:t>
      </w:r>
      <w:r>
        <w:rPr>
          <w:rFonts w:hint="eastAsia" w:cs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</w:rPr>
        <w:t>个工作日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内提交，逾期提交的材料将不予接收。</w:t>
      </w:r>
    </w:p>
    <w:p w14:paraId="750ADFC9"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本次调查截止时间：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2026年3月20</w:t>
      </w:r>
      <w:bookmarkStart w:id="0" w:name="_GoBack"/>
      <w:bookmarkEnd w:id="0"/>
      <w:r>
        <w:rPr>
          <w:rFonts w:hint="eastAsia" w:cs="仿宋_GB2312"/>
          <w:color w:val="auto"/>
          <w:sz w:val="32"/>
          <w:szCs w:val="32"/>
          <w:lang w:val="en-US" w:eastAsia="zh-CN"/>
        </w:rPr>
        <w:t>日17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时（北京时间）</w:t>
      </w:r>
    </w:p>
    <w:p w14:paraId="66414E97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76" w:lineRule="exact"/>
        <w:ind w:left="0" w:leftChars="0" w:firstLine="640"/>
        <w:textAlignment w:val="auto"/>
        <w:rPr>
          <w:b w:val="0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十、</w:t>
      </w:r>
      <w:r>
        <w:rPr>
          <w:color w:val="auto"/>
          <w:sz w:val="32"/>
          <w:szCs w:val="32"/>
        </w:rPr>
        <w:t>联系方式</w:t>
      </w:r>
    </w:p>
    <w:p w14:paraId="3C28AF8E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eastAsia="楷体_GB2312"/>
          <w:color w:val="auto"/>
          <w:sz w:val="32"/>
          <w:szCs w:val="32"/>
          <w:lang w:eastAsia="zh-CN"/>
        </w:rPr>
        <w:t>（一）</w:t>
      </w:r>
      <w:r>
        <w:rPr>
          <w:rStyle w:val="19"/>
          <w:rFonts w:hint="eastAsia" w:eastAsia="楷体_GB2312"/>
          <w:color w:val="auto"/>
          <w:sz w:val="32"/>
          <w:szCs w:val="32"/>
          <w:lang w:val="en-US" w:eastAsia="zh-CN"/>
        </w:rPr>
        <w:t>采购部门：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张老师 / 伍老师</w:t>
      </w:r>
      <w:r>
        <w:rPr>
          <w:rFonts w:hint="eastAsia" w:cs="仿宋_GB2312"/>
          <w:b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0750-7361397）</w:t>
      </w:r>
    </w:p>
    <w:p w14:paraId="3EE78FF4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eastAsia="楷体_GB2312"/>
          <w:color w:val="auto"/>
          <w:sz w:val="32"/>
          <w:szCs w:val="32"/>
          <w:lang w:val="en-US" w:eastAsia="zh-CN"/>
        </w:rPr>
        <w:t>（二）项目部门：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曾老师 / 宋老师</w:t>
      </w:r>
      <w:r>
        <w:rPr>
          <w:rFonts w:hint="eastAsia" w:cs="仿宋_GB2312"/>
          <w:b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0750-7361969）</w:t>
      </w:r>
    </w:p>
    <w:p w14:paraId="6759C282">
      <w:pPr>
        <w:pStyle w:val="11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color w:val="auto"/>
          <w:sz w:val="32"/>
          <w:szCs w:val="32"/>
          <w:lang w:eastAsia="zh-CN"/>
        </w:rPr>
        <w:t>（</w:t>
      </w:r>
      <w:r>
        <w:rPr>
          <w:rStyle w:val="19"/>
          <w:rFonts w:hint="eastAsia" w:eastAsia="楷体_GB2312"/>
          <w:color w:val="auto"/>
          <w:sz w:val="32"/>
          <w:szCs w:val="32"/>
          <w:lang w:val="en-US" w:eastAsia="zh-CN"/>
        </w:rPr>
        <w:t>三</w:t>
      </w:r>
      <w:r>
        <w:rPr>
          <w:rStyle w:val="19"/>
          <w:rFonts w:hint="eastAsia" w:eastAsia="楷体_GB2312"/>
          <w:color w:val="auto"/>
          <w:sz w:val="32"/>
          <w:szCs w:val="32"/>
          <w:lang w:eastAsia="zh-CN"/>
        </w:rPr>
        <w:t>）</w:t>
      </w:r>
      <w:r>
        <w:rPr>
          <w:rStyle w:val="19"/>
          <w:color w:val="auto"/>
          <w:sz w:val="32"/>
          <w:szCs w:val="32"/>
        </w:rPr>
        <w:t>接收邮箱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jmfycg@126.com</w:t>
      </w:r>
    </w:p>
    <w:p w14:paraId="49000A0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3858" w:leftChars="0" w:right="949" w:rightChars="0" w:firstLine="0" w:firstLineChars="0"/>
        <w:jc w:val="righ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发文机关署名_1" hidden="0" print="1" readonly="0" index="11"/>
        </mc:Choice>
      </mc:AlternateContent>
    </w:p>
    <w:p w14:paraId="760FAC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3858" w:leftChars="0" w:right="949" w:rightChars="0" w:firstLine="0" w:firstLineChars="0"/>
        <w:jc w:val="right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江门市妇幼保健院</w:t>
      </w:r>
      <mc:AlternateContent>
        <mc:Choice Requires="wpsCustomData">
          <wpsCustomData:docfieldEnd id="0"/>
        </mc:Choice>
      </mc:AlternateContent>
    </w:p>
    <w:p w14:paraId="5B7DD83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成文日期_1" hidden="0" print="1" readonly="0" index="12"/>
        </mc:Choice>
      </mc:AlternateContent>
      <w:r>
        <w:rPr>
          <w:rFonts w:hint="eastAsia"/>
          <w:color w:val="auto"/>
          <w:sz w:val="32"/>
          <w:szCs w:val="32"/>
          <w:lang w:val="en-US" w:eastAsia="zh-CN"/>
        </w:rPr>
        <w:t>2026年3月13日</w:t>
      </w:r>
      <mc:AlternateContent>
        <mc:Choice Requires="wpsCustomData">
          <wpsCustomData:docfieldEnd id="1"/>
        </mc:Choice>
      </mc:AlternateContent>
    </w:p>
    <w:p w14:paraId="51FA9897">
      <w:pPr>
        <w:pStyle w:val="11"/>
        <w:keepLines w:val="0"/>
        <w:pageBreakBefore w:val="0"/>
        <w:widowControl w:val="0"/>
        <w:kinsoku/>
        <w:wordWrap/>
        <w:autoSpaceDE/>
        <w:autoSpaceDN/>
        <w:bidi w:val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5C43F8C1">
      <w:pPr>
        <w:pStyle w:val="11"/>
        <w:keepLines w:val="0"/>
        <w:pageBreakBefore w:val="0"/>
        <w:widowControl w:val="0"/>
        <w:kinsoku/>
        <w:wordWrap/>
        <w:autoSpaceDE/>
        <w:autoSpaceDN/>
        <w:bidi w:val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75AB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95E6E9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vjmXRAAAA&#10;BgEAAA8AAAAAAAAAAQAgAAAAIgAAAGRycy9kb3ducmV2LnhtbFBLAQIUABQAAAAIAIdO4kCNsDni&#10;6wEAANE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95E6E9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CB21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D9C8E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+0dY&#10;1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2D9C8E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C0DC8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F0791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2E41"/>
    <w:rsid w:val="06736704"/>
    <w:rsid w:val="07F46EB5"/>
    <w:rsid w:val="09A6701A"/>
    <w:rsid w:val="0BF374E6"/>
    <w:rsid w:val="0EB11CF4"/>
    <w:rsid w:val="15D67E96"/>
    <w:rsid w:val="15FA692B"/>
    <w:rsid w:val="1C56042C"/>
    <w:rsid w:val="204A02A8"/>
    <w:rsid w:val="21690C01"/>
    <w:rsid w:val="28956124"/>
    <w:rsid w:val="299C3192"/>
    <w:rsid w:val="2A5319FD"/>
    <w:rsid w:val="2B011EB4"/>
    <w:rsid w:val="2BF51A0F"/>
    <w:rsid w:val="34B3484C"/>
    <w:rsid w:val="37187417"/>
    <w:rsid w:val="3BB71A45"/>
    <w:rsid w:val="42FA43F0"/>
    <w:rsid w:val="495A3812"/>
    <w:rsid w:val="54702F19"/>
    <w:rsid w:val="59F14D15"/>
    <w:rsid w:val="5CD503DD"/>
    <w:rsid w:val="5E56783C"/>
    <w:rsid w:val="5E6E102A"/>
    <w:rsid w:val="5F66688F"/>
    <w:rsid w:val="632F5A7F"/>
    <w:rsid w:val="643E324C"/>
    <w:rsid w:val="69A963F3"/>
    <w:rsid w:val="69CA10DE"/>
    <w:rsid w:val="6AC00E5F"/>
    <w:rsid w:val="6B4D2DC4"/>
    <w:rsid w:val="6F866004"/>
    <w:rsid w:val="7589387E"/>
    <w:rsid w:val="75AA7A0A"/>
    <w:rsid w:val="7B425546"/>
    <w:rsid w:val="7C1A5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2492</Words>
  <Characters>2581</Characters>
  <TotalTime>33</TotalTime>
  <ScaleCrop>false</ScaleCrop>
  <LinksUpToDate>false</LinksUpToDate>
  <CharactersWithSpaces>2593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2026-03-04T02:05:00Z</dcterms:created>
  <dc:creator>Apache POI</dc:creator>
  <cp:lastModifiedBy>伍阿坚</cp:lastModifiedBy>
  <dcterms:modified xsi:type="dcterms:W3CDTF">2026-03-14T02:50:45Z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eyJoZGlkIjoiMGFkYTIxNGRjNWRjZTg5NWIxMjI1N2QzNWQ4ZTgwYTQiLCJ1c2VySWQiOiIyMjY0NjUzODUifQ==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8A2486B18C5F4D15B498818976D99CC0_13</vt:lpwstr>
  </property>
</Properties>
</file>