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5202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/>
        </w:rPr>
        <w:t>智慧药房自动发药机维保服务项目采购需求</w:t>
      </w:r>
      <mc:AlternateContent>
        <mc:Choice Requires="wpsCustomData">
          <wpsCustomData:docfieldEnd id="0"/>
        </mc:Choice>
      </mc:AlternateContent>
    </w:p>
    <w:p w14:paraId="1302E21E">
      <w:pPr>
        <w:pStyle w:val="11"/>
        <w:bidi w:val="0"/>
        <w:spacing w:beforeAutospacing="0" w:afterAutospacing="0" w:line="300" w:lineRule="exact"/>
      </w:pPr>
    </w:p>
    <w:p w14:paraId="73BA9BA6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本采购需求针对韦乐海茨H5型自动发药机（序列号01－0170 SAL H5）年度维保服务制定，在原有基础上完善服务标准、人员要求、履约要求等内容，确保设备稳定运行，保障门诊药房正常运转，具体需求如下：</w:t>
      </w:r>
    </w:p>
    <w:p w14:paraId="0D03C124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服务范围及内容</w:t>
      </w:r>
    </w:p>
    <w:p w14:paraId="7880061E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18"/>
          <w:rFonts w:hint="eastAsia" w:eastAsia="楷体_GB2312"/>
          <w:lang w:eastAsia="zh-CN"/>
        </w:rPr>
        <w:t>（一）</w:t>
      </w:r>
      <w:r>
        <w:rPr>
          <w:rStyle w:val="18"/>
        </w:rPr>
        <w:t>基础维保</w:t>
      </w:r>
      <w:r>
        <w:rPr>
          <w:rFonts w:ascii="Times New Roman" w:hAnsi="Times New Roman" w:eastAsia="仿宋_GB2312" w:cs="仿宋_GB2312"/>
          <w:sz w:val="32"/>
          <w:szCs w:val="32"/>
        </w:rPr>
        <w:t>：含设备月度定期保养、故障应急维修、软硬件免费升级更新，保养需形成书面单据留档，维修后提供书面维修报告并讲解故障原因及防范建议。</w:t>
      </w:r>
    </w:p>
    <w:p w14:paraId="258ACE27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18"/>
          <w:rFonts w:hint="eastAsia" w:eastAsia="楷体_GB2312"/>
          <w:lang w:eastAsia="zh-CN"/>
        </w:rPr>
        <w:t>（二）</w:t>
      </w:r>
      <w:r>
        <w:rPr>
          <w:rStyle w:val="18"/>
        </w:rPr>
        <w:t>配件保障</w:t>
      </w:r>
      <w:r>
        <w:rPr>
          <w:rFonts w:ascii="Times New Roman" w:hAnsi="Times New Roman" w:eastAsia="仿宋_GB2312" w:cs="仿宋_GB2312"/>
          <w:sz w:val="32"/>
          <w:szCs w:val="32"/>
        </w:rPr>
        <w:t>：维保期内更换的备件为原厂全新合格件，故障确认后所需备件48小时内送达现场，年度服务费包干，包含所有正常维保、故障维修的零件及配件更换费用。</w:t>
      </w:r>
    </w:p>
    <w:p w14:paraId="64AEE56E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18"/>
          <w:rFonts w:hint="eastAsia" w:eastAsia="楷体_GB2312"/>
          <w:lang w:eastAsia="zh-CN"/>
        </w:rPr>
        <w:t>（三）</w:t>
      </w:r>
      <w:r>
        <w:rPr>
          <w:rStyle w:val="18"/>
        </w:rPr>
        <w:t>系统保障</w:t>
      </w:r>
      <w:r>
        <w:rPr>
          <w:rFonts w:ascii="Times New Roman" w:hAnsi="Times New Roman" w:eastAsia="仿宋_GB2312" w:cs="仿宋_GB2312"/>
          <w:sz w:val="32"/>
          <w:szCs w:val="32"/>
        </w:rPr>
        <w:t>：负责设备与医院信息系统的协议连接调试，确保数据传输稳定；实现患者与取药窗口智能分配、跨楼宇分流调度，保障系统功能正常。</w:t>
      </w:r>
    </w:p>
    <w:p w14:paraId="7F10E648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18"/>
          <w:rFonts w:hint="eastAsia" w:eastAsia="楷体_GB2312"/>
          <w:lang w:eastAsia="zh-CN"/>
        </w:rPr>
        <w:t>（四）</w:t>
      </w:r>
      <w:r>
        <w:rPr>
          <w:rStyle w:val="18"/>
        </w:rPr>
        <w:t>增值服务</w:t>
      </w:r>
      <w:r>
        <w:rPr>
          <w:rFonts w:ascii="Times New Roman" w:hAnsi="Times New Roman" w:eastAsia="仿宋_GB2312" w:cs="仿宋_GB2312"/>
          <w:sz w:val="32"/>
          <w:szCs w:val="32"/>
        </w:rPr>
        <w:t>：提供设备操作人员免费培训、季度设备运行分析报告及系统优化建议，协助药房完成设备内药品盘点、数据统计及药品存储结构调整、药品信息更新。</w:t>
      </w:r>
    </w:p>
    <w:p w14:paraId="517215F6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人员配置要求</w:t>
      </w:r>
    </w:p>
    <w:p w14:paraId="05D540D0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须配备资深技术工程师≥4名，其中经韦乐海茨自动发药机维修培训的工程师≥2名，拟派驻现场的维保工程师具有3年及以上韦乐海茨H5型设备维修经验。</w:t>
      </w:r>
    </w:p>
    <w:p w14:paraId="4CCFEDAE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工作日安排1名工程师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在本市有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驻点服务，法定节假日安排专人值班，提供现场技术支持。</w:t>
      </w:r>
    </w:p>
    <w:p w14:paraId="250431E2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  <w:color w:val="auto"/>
        </w:rPr>
      </w:pPr>
      <w:r>
        <w:rPr>
          <w:rFonts w:hint="eastAsia"/>
          <w:color w:val="auto"/>
          <w:lang w:eastAsia="zh-CN"/>
        </w:rPr>
        <w:t>三、</w:t>
      </w:r>
      <w:r>
        <w:rPr>
          <w:color w:val="auto"/>
        </w:rPr>
        <w:t>服务响应要求</w:t>
      </w:r>
    </w:p>
    <w:p w14:paraId="04CCF88A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提供7×24小时服务热线，接受故障咨询、操作指导等远程服务。</w:t>
      </w:r>
    </w:p>
    <w:p w14:paraId="3FED47D8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32"/>
        </w:rPr>
        <w:t>故障应急响应时间≤30分钟，工程师到场维修时间≤2小时，重大故障修复时间≤24小时；同一故障不得反复2次以上未修复，设备故障停机不得超3日，否则</w:t>
      </w:r>
      <w:r>
        <w:rPr>
          <w:rFonts w:hint="eastAsia" w:cs="仿宋_GB2312"/>
          <w:sz w:val="32"/>
          <w:szCs w:val="32"/>
          <w:lang w:eastAsia="zh-CN"/>
        </w:rPr>
        <w:t>医院</w:t>
      </w:r>
      <w:r>
        <w:rPr>
          <w:rFonts w:ascii="Times New Roman" w:hAnsi="Times New Roman" w:eastAsia="仿宋_GB2312" w:cs="仿宋_GB2312"/>
          <w:sz w:val="32"/>
          <w:szCs w:val="32"/>
        </w:rPr>
        <w:t>有权委托第三方维修，费用由</w:t>
      </w:r>
      <w:r>
        <w:rPr>
          <w:rFonts w:hint="eastAsia" w:cs="仿宋_GB2312"/>
          <w:sz w:val="32"/>
          <w:szCs w:val="32"/>
          <w:lang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承担。</w:t>
      </w:r>
    </w:p>
    <w:p w14:paraId="18111944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履约及质量要求</w:t>
      </w:r>
    </w:p>
    <w:p w14:paraId="19CC5BC0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cs="仿宋_GB2312"/>
          <w:sz w:val="32"/>
          <w:szCs w:val="32"/>
          <w:lang w:val="en-US"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需在服务前对设备进行全面检测并出具评估报告，作为服务依据。</w:t>
      </w:r>
    </w:p>
    <w:p w14:paraId="325330E5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设备无故障率不低于98％（按全年365天计算，</w:t>
      </w:r>
      <w:r>
        <w:rPr>
          <w:rFonts w:hint="eastAsia" w:cs="仿宋_GB2312"/>
          <w:sz w:val="32"/>
          <w:szCs w:val="32"/>
          <w:lang w:eastAsia="zh-CN"/>
        </w:rPr>
        <w:t>医院</w:t>
      </w:r>
      <w:r>
        <w:rPr>
          <w:rFonts w:ascii="Times New Roman" w:hAnsi="Times New Roman" w:eastAsia="仿宋_GB2312" w:cs="仿宋_GB2312"/>
          <w:sz w:val="32"/>
          <w:szCs w:val="32"/>
        </w:rPr>
        <w:t>操作不当、不可抗力导致的故障除外），未达标则按1:3比例延长对应未达天数的服务期限，合同金额不变。</w:t>
      </w:r>
    </w:p>
    <w:p w14:paraId="1203626B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cs="仿宋_GB2312"/>
          <w:sz w:val="32"/>
          <w:szCs w:val="32"/>
          <w:lang w:val="en-US"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建立完善的服务台账，详细记录设备保养、维修、配件更换等情况，按月向</w:t>
      </w:r>
      <w:r>
        <w:rPr>
          <w:rFonts w:hint="eastAsia" w:cs="仿宋_GB2312"/>
          <w:sz w:val="32"/>
          <w:szCs w:val="32"/>
          <w:lang w:eastAsia="zh-CN"/>
        </w:rPr>
        <w:t>医院</w:t>
      </w:r>
      <w:r>
        <w:rPr>
          <w:rFonts w:ascii="Times New Roman" w:hAnsi="Times New Roman" w:eastAsia="仿宋_GB2312" w:cs="仿宋_GB2312"/>
          <w:sz w:val="32"/>
          <w:szCs w:val="32"/>
        </w:rPr>
        <w:t>提交设备运行报告。</w:t>
      </w:r>
    </w:p>
    <w:p w14:paraId="20CBC041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其他要求</w:t>
      </w:r>
    </w:p>
    <w:p w14:paraId="538CBC32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cs="仿宋_GB2312"/>
          <w:sz w:val="32"/>
          <w:szCs w:val="32"/>
          <w:lang w:val="en-US"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对项目涉及的医院商业机密、患者信息等承担保密义务，保密约定不因协议终止失效。</w:t>
      </w:r>
    </w:p>
    <w:p w14:paraId="536B048C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cs="仿宋_GB2312"/>
          <w:sz w:val="32"/>
          <w:szCs w:val="32"/>
          <w:lang w:val="en-US"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保证维保服务及使用配件不侵犯第三方知识产权，若产生侵权纠纷，由</w:t>
      </w:r>
      <w:r>
        <w:rPr>
          <w:rFonts w:hint="eastAsia" w:cs="仿宋_GB2312"/>
          <w:sz w:val="32"/>
          <w:szCs w:val="32"/>
          <w:lang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全权处理并承担全部责任。</w:t>
      </w:r>
    </w:p>
    <w:p w14:paraId="3BFE5668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非</w:t>
      </w:r>
      <w:r>
        <w:rPr>
          <w:rFonts w:hint="eastAsia" w:cs="仿宋_GB2312"/>
          <w:sz w:val="32"/>
          <w:szCs w:val="32"/>
          <w:lang w:val="en-US"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原因（如</w:t>
      </w:r>
      <w:r>
        <w:rPr>
          <w:rFonts w:hint="eastAsia" w:cs="仿宋_GB2312"/>
          <w:sz w:val="32"/>
          <w:szCs w:val="32"/>
          <w:lang w:eastAsia="zh-CN"/>
        </w:rPr>
        <w:t>医院</w:t>
      </w:r>
      <w:r>
        <w:rPr>
          <w:rFonts w:ascii="Times New Roman" w:hAnsi="Times New Roman" w:eastAsia="仿宋_GB2312" w:cs="仿宋_GB2312"/>
          <w:sz w:val="32"/>
          <w:szCs w:val="32"/>
        </w:rPr>
        <w:t>使用非指定配件、第三方擅自拆卸改造、不可抗力等）导致的设备故障，</w:t>
      </w:r>
      <w:r>
        <w:rPr>
          <w:rFonts w:hint="eastAsia" w:cs="仿宋_GB2312"/>
          <w:sz w:val="32"/>
          <w:szCs w:val="32"/>
          <w:lang w:val="en-US" w:eastAsia="zh-CN"/>
        </w:rPr>
        <w:t>响应供应商</w:t>
      </w:r>
      <w:r>
        <w:rPr>
          <w:rFonts w:ascii="Times New Roman" w:hAnsi="Times New Roman" w:eastAsia="仿宋_GB2312" w:cs="仿宋_GB2312"/>
          <w:sz w:val="32"/>
          <w:szCs w:val="32"/>
        </w:rPr>
        <w:t>提供有偿维修服务，费用双方协商确定。</w:t>
      </w:r>
    </w:p>
    <w:p w14:paraId="1872055D">
      <w:pPr>
        <w:pStyle w:val="11"/>
        <w:numPr>
          <w:ilvl w:val="0"/>
          <w:numId w:val="0"/>
        </w:numPr>
        <w:topLinePunct w:val="0"/>
        <w:ind w:left="0" w:leftChars="0" w:firstLine="616"/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sz w:val="32"/>
          <w:szCs w:val="32"/>
        </w:rPr>
        <w:t>若服务期内设备因故障无法修复或报废，</w:t>
      </w:r>
      <w:r>
        <w:rPr>
          <w:rFonts w:hint="eastAsia" w:cs="仿宋_GB2312"/>
          <w:sz w:val="32"/>
          <w:szCs w:val="32"/>
          <w:lang w:val="en-US" w:eastAsia="zh-CN"/>
        </w:rPr>
        <w:t>医院</w:t>
      </w:r>
      <w:r>
        <w:rPr>
          <w:rFonts w:ascii="Times New Roman" w:hAnsi="Times New Roman" w:eastAsia="仿宋_GB2312" w:cs="仿宋_GB2312"/>
          <w:sz w:val="32"/>
          <w:szCs w:val="32"/>
        </w:rPr>
        <w:t>按未履行服务天数折算扣除相应维保费用（扣除费用＝年度服务费／365×实际未履行天数）。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9DEB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A90F57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vjmXRAAAA&#10;BgEAAA8AAAAAAAAAAQAgAAAAIgAAAGRycy9kb3ducmV2LnhtbFBLAQIUABQAAAAIAIdO4kCNsDni&#10;6wEAANE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A90F57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498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1827D8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+0dY&#10;1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1827D8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6BA03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0D0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628F"/>
    <w:rsid w:val="21C65A76"/>
    <w:rsid w:val="38494EE6"/>
    <w:rsid w:val="5DD37B0F"/>
    <w:rsid w:val="7A6E6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1041</Words>
  <Characters>1080</Characters>
  <TotalTime>13</TotalTime>
  <ScaleCrop>false</ScaleCrop>
  <LinksUpToDate>false</LinksUpToDate>
  <CharactersWithSpaces>1082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2026-03-12T02:27:00Z</dcterms:created>
  <dc:creator>Apache POI</dc:creator>
  <cp:lastModifiedBy>伍阿坚</cp:lastModifiedBy>
  <dcterms:modified xsi:type="dcterms:W3CDTF">2026-03-12T03:46:20Z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eyJoZGlkIjoiMGFkYTIxNGRjNWRjZTg5NWIxMjI1N2QzNWQ4ZTgwYTQiLCJ1c2VySWQiOiIyMjY0NjUzODUifQ==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8B3348AD4A494489B09BF4919C61A3E7_13</vt:lpwstr>
  </property>
</Properties>
</file>