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“十五五”规划编制及2026年战略核心管理优化项目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945"/>
        <w:gridCol w:w="7350"/>
        <w:gridCol w:w="712"/>
        <w:gridCol w:w="1275"/>
      </w:tblGrid>
      <w:tr w14:paraId="2BF1B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Align w:val="center"/>
          </w:tcPr>
          <w:p w14:paraId="1794C8D2">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bCs/>
                <w:sz w:val="21"/>
                <w:szCs w:val="21"/>
                <w14:ligatures w14:val="standardContextual"/>
              </w:rPr>
            </w:pPr>
            <w:r>
              <w:rPr>
                <w:rFonts w:hint="eastAsia" w:ascii="仿宋_GB2312" w:hAnsi="仿宋_GB2312" w:eastAsia="仿宋_GB2312" w:cs="仿宋_GB2312"/>
                <w:b/>
                <w:bCs/>
                <w:sz w:val="21"/>
                <w:szCs w:val="21"/>
                <w14:ligatures w14:val="standardContextual"/>
              </w:rPr>
              <w:t>评审因素</w:t>
            </w:r>
          </w:p>
        </w:tc>
        <w:tc>
          <w:tcPr>
            <w:tcW w:w="8295" w:type="dxa"/>
            <w:gridSpan w:val="2"/>
            <w:vAlign w:val="center"/>
          </w:tcPr>
          <w:p w14:paraId="41E8D9C2">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bCs/>
                <w:sz w:val="21"/>
                <w:szCs w:val="21"/>
                <w14:ligatures w14:val="standardContextual"/>
              </w:rPr>
            </w:pPr>
            <w:r>
              <w:rPr>
                <w:rFonts w:hint="eastAsia" w:ascii="仿宋_GB2312" w:hAnsi="仿宋_GB2312" w:eastAsia="仿宋_GB2312" w:cs="仿宋_GB2312"/>
                <w:b/>
                <w:bCs/>
                <w:sz w:val="21"/>
                <w:szCs w:val="21"/>
                <w14:ligatures w14:val="standardContextual"/>
              </w:rPr>
              <w:t>评审标准</w:t>
            </w:r>
          </w:p>
        </w:tc>
        <w:tc>
          <w:tcPr>
            <w:tcW w:w="712" w:type="dxa"/>
            <w:shd w:val="clear" w:color="auto" w:fill="auto"/>
            <w:vAlign w:val="center"/>
          </w:tcPr>
          <w:p w14:paraId="4C389818">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bCs/>
                <w:sz w:val="21"/>
                <w:szCs w:val="21"/>
                <w:lang w:val="en-US" w:eastAsia="zh-CN"/>
                <w14:ligatures w14:val="standardContextual"/>
              </w:rPr>
            </w:pPr>
            <w:r>
              <w:rPr>
                <w:rFonts w:hint="eastAsia" w:ascii="仿宋_GB2312" w:hAnsi="仿宋_GB2312" w:eastAsia="仿宋_GB2312" w:cs="仿宋_GB2312"/>
                <w:b/>
                <w:bCs/>
                <w:sz w:val="21"/>
                <w:szCs w:val="21"/>
                <w:lang w:val="en-US" w:eastAsia="zh-CN"/>
                <w14:ligatures w14:val="standardContextual"/>
              </w:rPr>
              <w:t>自评分</w:t>
            </w:r>
          </w:p>
        </w:tc>
        <w:tc>
          <w:tcPr>
            <w:tcW w:w="1275" w:type="dxa"/>
            <w:shd w:val="clear" w:color="auto" w:fill="auto"/>
            <w:vAlign w:val="center"/>
          </w:tcPr>
          <w:p w14:paraId="3E4F87FE">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bCs/>
                <w:sz w:val="21"/>
                <w:szCs w:val="21"/>
                <w:lang w:val="en-US" w:eastAsia="zh-CN"/>
                <w14:ligatures w14:val="standardContextual"/>
              </w:rPr>
            </w:pPr>
            <w:r>
              <w:rPr>
                <w:rFonts w:hint="eastAsia" w:ascii="仿宋_GB2312" w:hAnsi="仿宋_GB2312" w:eastAsia="仿宋_GB2312" w:cs="仿宋_GB2312"/>
                <w:b/>
                <w:bCs/>
                <w:sz w:val="21"/>
                <w:szCs w:val="21"/>
                <w:lang w:val="en-US" w:eastAsia="zh-CN"/>
                <w14:ligatures w14:val="standardContextual"/>
              </w:rPr>
              <w:t>佐证材料对应的页码</w:t>
            </w:r>
          </w:p>
        </w:tc>
      </w:tr>
      <w:tr w14:paraId="31C45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Merge w:val="restart"/>
            <w:vAlign w:val="center"/>
          </w:tcPr>
          <w:p w14:paraId="56491255">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技术部分（60分）</w:t>
            </w:r>
          </w:p>
        </w:tc>
        <w:tc>
          <w:tcPr>
            <w:tcW w:w="945" w:type="dxa"/>
            <w:vAlign w:val="center"/>
          </w:tcPr>
          <w:p w14:paraId="4C51228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项目理解与需求分析 (15分)</w:t>
            </w:r>
          </w:p>
        </w:tc>
        <w:tc>
          <w:tcPr>
            <w:tcW w:w="7350" w:type="dxa"/>
          </w:tcPr>
          <w:p w14:paraId="770A460D">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根据供应商对项目背景、目标以及意义的分析，对相关政策、采购人工作架构等了解情况，以及对项目用户需求的理解程度进行评审： </w:t>
            </w:r>
          </w:p>
          <w:p w14:paraId="6DFFE91A">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1.供应商能够结合有关政策阐述项目建设背景并提出项目建设目标以及建设意义，对采购人工作架构等情况等非常熟悉，非常到位的理解项目用户需求的，得15分； </w:t>
            </w:r>
          </w:p>
          <w:p w14:paraId="152E8028">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2.供应商能够结合有关政策阐述项目建设背景并提出项目建设目标以及建设意义，对采购人工作架构等较为熟悉，较为理解项目用户需求的，得8分； </w:t>
            </w:r>
          </w:p>
          <w:p w14:paraId="2F3D51C5">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3.供应商对项目建设背景、建设目标以及建设意义的分析一般，对采购人工作架构等基本熟悉，提出的项目用户需求基本到位的，得4分； </w:t>
            </w:r>
          </w:p>
          <w:p w14:paraId="09E39920">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4.供应商简单笼统的对项目建设背景、建设目标以及建设意义进行分析，对采购人工作架构等不太熟悉，对项目用户需求的理解不太到位的，得1分； </w:t>
            </w:r>
          </w:p>
          <w:p w14:paraId="5FA60169">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5.未提供相应方案不得分。</w:t>
            </w:r>
          </w:p>
        </w:tc>
        <w:tc>
          <w:tcPr>
            <w:tcW w:w="712" w:type="dxa"/>
          </w:tcPr>
          <w:p w14:paraId="71B89543">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2A508034">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r w14:paraId="298E7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Merge w:val="continue"/>
          </w:tcPr>
          <w:p w14:paraId="1C222410">
            <w:pPr>
              <w:keepNext w:val="0"/>
              <w:keepLines w:val="0"/>
              <w:pageBreakBefore w:val="0"/>
              <w:widowControl w:val="0"/>
              <w:kinsoku/>
              <w:wordWrap/>
              <w:overflowPunct/>
              <w:topLinePunct w:val="0"/>
              <w:autoSpaceDE/>
              <w:autoSpaceDN/>
              <w:bidi w:val="0"/>
              <w:adjustRightInd/>
              <w:snapToGrid/>
              <w:spacing w:after="0" w:line="240" w:lineRule="exact"/>
              <w:ind w:firstLine="420" w:firstLineChars="200"/>
              <w:jc w:val="left"/>
              <w:textAlignment w:val="auto"/>
              <w:rPr>
                <w:rFonts w:hint="eastAsia" w:ascii="仿宋_GB2312" w:hAnsi="仿宋_GB2312" w:eastAsia="仿宋_GB2312" w:cs="仿宋_GB2312"/>
                <w:sz w:val="21"/>
                <w:szCs w:val="21"/>
                <w14:ligatures w14:val="standardContextual"/>
              </w:rPr>
            </w:pPr>
          </w:p>
        </w:tc>
        <w:tc>
          <w:tcPr>
            <w:tcW w:w="945" w:type="dxa"/>
            <w:vAlign w:val="center"/>
          </w:tcPr>
          <w:p w14:paraId="64CE3DC5">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工作流程及服务方案 (25分)</w:t>
            </w:r>
          </w:p>
        </w:tc>
        <w:tc>
          <w:tcPr>
            <w:tcW w:w="7350" w:type="dxa"/>
          </w:tcPr>
          <w:p w14:paraId="158992F5">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根据响应供应商制定的工作流程和服务方案进行综合评审：</w:t>
            </w:r>
          </w:p>
          <w:p w14:paraId="7096CB5F">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1.对工作方案（标准）、业务的工作原则和要求熟练掌握，工作流程及进度计划科学高效，方案针对性强，可操作性强的，得25分；</w:t>
            </w:r>
          </w:p>
          <w:p w14:paraId="2352EDEE">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2.对工作方案（标准）、业务的工作原则和要求较为清楚，工作流程及进度计划较科学合理，方案针对性较强，可操作性较强的，得15分；</w:t>
            </w:r>
          </w:p>
          <w:p w14:paraId="260DDBCA">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3.对工作方案（标准）、业务的工作原则和要求基本清楚，工作流程及进度计划基本合理，方案针对性一般 ，可操作性一般的，得8分；</w:t>
            </w:r>
          </w:p>
          <w:p w14:paraId="62E7D7F2">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4.对工作方案（标准）、业务的工作原则和要求不够了解，工作流程及进度计划不够合理，方案针对性差，可操作性差的，得1分；</w:t>
            </w:r>
          </w:p>
          <w:p w14:paraId="5724A51A">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5.未提供相对应方案不得分。</w:t>
            </w:r>
          </w:p>
        </w:tc>
        <w:tc>
          <w:tcPr>
            <w:tcW w:w="712" w:type="dxa"/>
          </w:tcPr>
          <w:p w14:paraId="59F289C3">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1857A3BF">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r w14:paraId="24BDB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5" w:type="dxa"/>
            <w:vMerge w:val="continue"/>
          </w:tcPr>
          <w:p w14:paraId="0328DAA8">
            <w:pPr>
              <w:keepNext w:val="0"/>
              <w:keepLines w:val="0"/>
              <w:pageBreakBefore w:val="0"/>
              <w:widowControl w:val="0"/>
              <w:kinsoku/>
              <w:wordWrap/>
              <w:overflowPunct/>
              <w:topLinePunct w:val="0"/>
              <w:autoSpaceDE/>
              <w:autoSpaceDN/>
              <w:bidi w:val="0"/>
              <w:adjustRightInd/>
              <w:snapToGrid/>
              <w:spacing w:after="0" w:line="240" w:lineRule="exact"/>
              <w:ind w:firstLine="420" w:firstLineChars="200"/>
              <w:jc w:val="left"/>
              <w:textAlignment w:val="auto"/>
              <w:rPr>
                <w:rFonts w:hint="eastAsia" w:ascii="仿宋_GB2312" w:hAnsi="仿宋_GB2312" w:eastAsia="仿宋_GB2312" w:cs="仿宋_GB2312"/>
                <w:sz w:val="21"/>
                <w:szCs w:val="21"/>
                <w14:ligatures w14:val="standardContextual"/>
              </w:rPr>
            </w:pPr>
          </w:p>
        </w:tc>
        <w:tc>
          <w:tcPr>
            <w:tcW w:w="945" w:type="dxa"/>
            <w:vAlign w:val="center"/>
          </w:tcPr>
          <w:p w14:paraId="5159234A">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highlight w:val="none"/>
                <w14:ligatures w14:val="standardContextual"/>
              </w:rPr>
            </w:pPr>
            <w:r>
              <w:rPr>
                <w:rFonts w:hint="eastAsia" w:ascii="仿宋_GB2312" w:hAnsi="仿宋_GB2312" w:eastAsia="仿宋_GB2312" w:cs="仿宋_GB2312"/>
                <w:sz w:val="21"/>
                <w:szCs w:val="21"/>
                <w:highlight w:val="none"/>
                <w14:ligatures w14:val="standardContextual"/>
              </w:rPr>
              <w:t>服务承诺 (</w:t>
            </w:r>
            <w:r>
              <w:rPr>
                <w:rFonts w:hint="eastAsia" w:ascii="仿宋_GB2312" w:hAnsi="仿宋_GB2312" w:eastAsia="仿宋_GB2312" w:cs="仿宋_GB2312"/>
                <w:sz w:val="21"/>
                <w:szCs w:val="21"/>
                <w:highlight w:val="none"/>
                <w:lang w:val="en-US" w:eastAsia="zh-CN"/>
                <w14:ligatures w14:val="standardContextual"/>
              </w:rPr>
              <w:t>1</w:t>
            </w:r>
            <w:r>
              <w:rPr>
                <w:rFonts w:hint="eastAsia" w:ascii="仿宋_GB2312" w:hAnsi="仿宋_GB2312" w:eastAsia="仿宋_GB2312" w:cs="仿宋_GB2312"/>
                <w:sz w:val="21"/>
                <w:szCs w:val="21"/>
                <w:highlight w:val="none"/>
                <w14:ligatures w14:val="standardContextual"/>
              </w:rPr>
              <w:t>0分)</w:t>
            </w:r>
          </w:p>
        </w:tc>
        <w:tc>
          <w:tcPr>
            <w:tcW w:w="7350" w:type="dxa"/>
          </w:tcPr>
          <w:p w14:paraId="0F963BCB">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highlight w:val="none"/>
                <w:lang w:eastAsia="zh-CN"/>
                <w14:ligatures w14:val="standardContextual"/>
              </w:rPr>
            </w:pPr>
            <w:r>
              <w:rPr>
                <w:rFonts w:hint="eastAsia" w:ascii="仿宋_GB2312" w:hAnsi="仿宋_GB2312" w:eastAsia="仿宋_GB2312" w:cs="仿宋_GB2312"/>
                <w:sz w:val="21"/>
                <w:szCs w:val="21"/>
                <w:highlight w:val="none"/>
                <w14:ligatures w14:val="standardContextual"/>
              </w:rPr>
              <w:t>根据供应商的技术支持度、合同实施过程的跟踪服务能力以及实施的情况进行评分</w:t>
            </w:r>
            <w:r>
              <w:rPr>
                <w:rFonts w:hint="eastAsia" w:ascii="仿宋_GB2312" w:hAnsi="仿宋_GB2312" w:eastAsia="仿宋_GB2312" w:cs="仿宋_GB2312"/>
                <w:sz w:val="21"/>
                <w:szCs w:val="21"/>
                <w:highlight w:val="none"/>
                <w:lang w:eastAsia="zh-CN"/>
                <w14:ligatures w14:val="standardContextual"/>
              </w:rPr>
              <w:t>：</w:t>
            </w:r>
          </w:p>
          <w:p w14:paraId="097C12D8">
            <w:pPr>
              <w:keepNext w:val="0"/>
              <w:keepLines w:val="0"/>
              <w:pageBreakBefore w:val="0"/>
              <w:widowControl w:val="0"/>
              <w:numPr>
                <w:ilvl w:val="0"/>
                <w:numId w:val="1"/>
              </w:numPr>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highlight w:val="none"/>
                <w14:ligatures w14:val="standardContextual"/>
              </w:rPr>
            </w:pPr>
            <w:r>
              <w:rPr>
                <w:rFonts w:hint="eastAsia" w:ascii="仿宋_GB2312" w:hAnsi="仿宋_GB2312" w:eastAsia="仿宋_GB2312" w:cs="仿宋_GB2312"/>
                <w:sz w:val="21"/>
                <w:szCs w:val="21"/>
                <w:highlight w:val="none"/>
                <w14:ligatures w14:val="standardContextual"/>
              </w:rPr>
              <w:t>技术支持度高、跟踪服务能力强、服务计划全面、针对性强，得</w:t>
            </w:r>
            <w:r>
              <w:rPr>
                <w:rFonts w:hint="eastAsia" w:ascii="仿宋_GB2312" w:hAnsi="仿宋_GB2312" w:eastAsia="仿宋_GB2312" w:cs="仿宋_GB2312"/>
                <w:sz w:val="21"/>
                <w:szCs w:val="21"/>
                <w:highlight w:val="none"/>
                <w:lang w:val="en-US" w:eastAsia="zh-CN"/>
                <w14:ligatures w14:val="standardContextual"/>
              </w:rPr>
              <w:t>10</w:t>
            </w:r>
            <w:r>
              <w:rPr>
                <w:rFonts w:hint="eastAsia" w:ascii="仿宋_GB2312" w:hAnsi="仿宋_GB2312" w:eastAsia="仿宋_GB2312" w:cs="仿宋_GB2312"/>
                <w:sz w:val="21"/>
                <w:szCs w:val="21"/>
                <w:highlight w:val="none"/>
                <w14:ligatures w14:val="standardContextual"/>
              </w:rPr>
              <w:t xml:space="preserve">分； </w:t>
            </w:r>
          </w:p>
          <w:p w14:paraId="1B7D8CC9">
            <w:pPr>
              <w:keepNext w:val="0"/>
              <w:keepLines w:val="0"/>
              <w:pageBreakBefore w:val="0"/>
              <w:widowControl w:val="0"/>
              <w:numPr>
                <w:ilvl w:val="0"/>
                <w:numId w:val="1"/>
              </w:numPr>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仿宋_GB2312" w:hAnsi="仿宋_GB2312" w:eastAsia="仿宋_GB2312" w:cs="仿宋_GB2312"/>
                <w:sz w:val="21"/>
                <w:szCs w:val="21"/>
                <w:highlight w:val="none"/>
                <w14:ligatures w14:val="standardContextual"/>
              </w:rPr>
            </w:pPr>
            <w:r>
              <w:rPr>
                <w:rFonts w:hint="eastAsia" w:ascii="仿宋_GB2312" w:hAnsi="仿宋_GB2312" w:eastAsia="仿宋_GB2312" w:cs="仿宋_GB2312"/>
                <w:sz w:val="21"/>
                <w:szCs w:val="21"/>
                <w:highlight w:val="none"/>
                <w14:ligatures w14:val="standardContextual"/>
              </w:rPr>
              <w:t>技术支持度较高、跟踪服务能力较强、服务计划较全面、针对性一般，得</w:t>
            </w:r>
            <w:r>
              <w:rPr>
                <w:rFonts w:hint="eastAsia" w:ascii="仿宋_GB2312" w:hAnsi="仿宋_GB2312" w:eastAsia="仿宋_GB2312" w:cs="仿宋_GB2312"/>
                <w:sz w:val="21"/>
                <w:szCs w:val="21"/>
                <w:highlight w:val="none"/>
                <w:lang w:val="en-US" w:eastAsia="zh-CN"/>
                <w14:ligatures w14:val="standardContextual"/>
              </w:rPr>
              <w:t>6</w:t>
            </w:r>
            <w:r>
              <w:rPr>
                <w:rFonts w:hint="eastAsia" w:ascii="仿宋_GB2312" w:hAnsi="仿宋_GB2312" w:eastAsia="仿宋_GB2312" w:cs="仿宋_GB2312"/>
                <w:sz w:val="21"/>
                <w:szCs w:val="21"/>
                <w:highlight w:val="none"/>
                <w14:ligatures w14:val="standardContextual"/>
              </w:rPr>
              <w:t>分；</w:t>
            </w:r>
          </w:p>
          <w:p w14:paraId="27B09ABD">
            <w:pPr>
              <w:keepNext w:val="0"/>
              <w:keepLines w:val="0"/>
              <w:pageBreakBefore w:val="0"/>
              <w:widowControl w:val="0"/>
              <w:numPr>
                <w:ilvl w:val="0"/>
                <w:numId w:val="1"/>
              </w:numPr>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仿宋_GB2312" w:hAnsi="仿宋_GB2312" w:eastAsia="仿宋_GB2312" w:cs="仿宋_GB2312"/>
                <w:sz w:val="21"/>
                <w:szCs w:val="21"/>
                <w:highlight w:val="none"/>
                <w14:ligatures w14:val="standardContextual"/>
              </w:rPr>
            </w:pPr>
            <w:r>
              <w:rPr>
                <w:rFonts w:hint="eastAsia" w:ascii="仿宋_GB2312" w:hAnsi="仿宋_GB2312" w:eastAsia="仿宋_GB2312" w:cs="仿宋_GB2312"/>
                <w:sz w:val="21"/>
                <w:szCs w:val="21"/>
                <w:highlight w:val="none"/>
                <w14:ligatures w14:val="standardContextual"/>
              </w:rPr>
              <w:t>技术支持度一般、跟踪服务能力一般、服务计划不够完善、针对性一般，得</w:t>
            </w:r>
            <w:r>
              <w:rPr>
                <w:rFonts w:hint="eastAsia" w:ascii="仿宋_GB2312" w:hAnsi="仿宋_GB2312" w:eastAsia="仿宋_GB2312" w:cs="仿宋_GB2312"/>
                <w:sz w:val="21"/>
                <w:szCs w:val="21"/>
                <w:highlight w:val="none"/>
                <w:lang w:val="en-US" w:eastAsia="zh-CN"/>
                <w14:ligatures w14:val="standardContextual"/>
              </w:rPr>
              <w:t>3</w:t>
            </w:r>
            <w:r>
              <w:rPr>
                <w:rFonts w:hint="eastAsia" w:ascii="仿宋_GB2312" w:hAnsi="仿宋_GB2312" w:eastAsia="仿宋_GB2312" w:cs="仿宋_GB2312"/>
                <w:sz w:val="21"/>
                <w:szCs w:val="21"/>
                <w:highlight w:val="none"/>
                <w14:ligatures w14:val="standardContextual"/>
              </w:rPr>
              <w:t xml:space="preserve">分； </w:t>
            </w:r>
          </w:p>
          <w:p w14:paraId="63ABB9EE">
            <w:pPr>
              <w:keepNext w:val="0"/>
              <w:keepLines w:val="0"/>
              <w:pageBreakBefore w:val="0"/>
              <w:widowControl w:val="0"/>
              <w:numPr>
                <w:ilvl w:val="0"/>
                <w:numId w:val="1"/>
              </w:numPr>
              <w:kinsoku/>
              <w:wordWrap/>
              <w:overflowPunct/>
              <w:topLinePunct w:val="0"/>
              <w:autoSpaceDE/>
              <w:autoSpaceDN/>
              <w:bidi w:val="0"/>
              <w:adjustRightInd/>
              <w:snapToGrid/>
              <w:spacing w:after="0" w:line="240" w:lineRule="exact"/>
              <w:ind w:left="0" w:leftChars="0" w:firstLine="0" w:firstLineChars="0"/>
              <w:jc w:val="left"/>
              <w:textAlignment w:val="auto"/>
              <w:rPr>
                <w:rFonts w:hint="eastAsia" w:ascii="仿宋_GB2312" w:hAnsi="仿宋_GB2312" w:eastAsia="仿宋_GB2312" w:cs="仿宋_GB2312"/>
                <w:sz w:val="21"/>
                <w:szCs w:val="21"/>
                <w:highlight w:val="none"/>
                <w14:ligatures w14:val="standardContextual"/>
              </w:rPr>
            </w:pPr>
            <w:r>
              <w:rPr>
                <w:rFonts w:hint="eastAsia" w:ascii="仿宋_GB2312" w:hAnsi="仿宋_GB2312" w:eastAsia="仿宋_GB2312" w:cs="仿宋_GB2312"/>
                <w:sz w:val="21"/>
                <w:szCs w:val="21"/>
                <w:highlight w:val="none"/>
                <w14:ligatures w14:val="standardContextual"/>
              </w:rPr>
              <w:t>无制定服务承诺，得0分。</w:t>
            </w:r>
          </w:p>
        </w:tc>
        <w:tc>
          <w:tcPr>
            <w:tcW w:w="712" w:type="dxa"/>
          </w:tcPr>
          <w:p w14:paraId="775F7DFC">
            <w:pPr>
              <w:keepNext w:val="0"/>
              <w:keepLines w:val="0"/>
              <w:pageBreakBefore w:val="0"/>
              <w:widowControl w:val="0"/>
              <w:numPr>
                <w:numId w:val="0"/>
              </w:numPr>
              <w:kinsoku/>
              <w:wordWrap/>
              <w:overflowPunct/>
              <w:topLinePunct w:val="0"/>
              <w:autoSpaceDE/>
              <w:autoSpaceDN/>
              <w:bidi w:val="0"/>
              <w:adjustRightInd/>
              <w:snapToGrid/>
              <w:spacing w:after="0" w:line="240" w:lineRule="exact"/>
              <w:ind w:leftChars="0"/>
              <w:jc w:val="left"/>
              <w:textAlignment w:val="auto"/>
              <w:rPr>
                <w:rFonts w:hint="eastAsia" w:ascii="仿宋_GB2312" w:hAnsi="仿宋_GB2312" w:eastAsia="仿宋_GB2312" w:cs="仿宋_GB2312"/>
                <w:sz w:val="21"/>
                <w:szCs w:val="21"/>
                <w:highlight w:val="none"/>
                <w14:ligatures w14:val="standardContextual"/>
              </w:rPr>
            </w:pPr>
          </w:p>
        </w:tc>
        <w:tc>
          <w:tcPr>
            <w:tcW w:w="1275" w:type="dxa"/>
          </w:tcPr>
          <w:p w14:paraId="3EC3AF4A">
            <w:pPr>
              <w:keepNext w:val="0"/>
              <w:keepLines w:val="0"/>
              <w:pageBreakBefore w:val="0"/>
              <w:widowControl w:val="0"/>
              <w:numPr>
                <w:numId w:val="0"/>
              </w:numPr>
              <w:kinsoku/>
              <w:wordWrap/>
              <w:overflowPunct/>
              <w:topLinePunct w:val="0"/>
              <w:autoSpaceDE/>
              <w:autoSpaceDN/>
              <w:bidi w:val="0"/>
              <w:adjustRightInd/>
              <w:snapToGrid/>
              <w:spacing w:after="0" w:line="240" w:lineRule="exact"/>
              <w:ind w:leftChars="0"/>
              <w:jc w:val="left"/>
              <w:textAlignment w:val="auto"/>
              <w:rPr>
                <w:rFonts w:hint="eastAsia" w:ascii="仿宋_GB2312" w:hAnsi="仿宋_GB2312" w:eastAsia="仿宋_GB2312" w:cs="仿宋_GB2312"/>
                <w:sz w:val="21"/>
                <w:szCs w:val="21"/>
                <w:highlight w:val="none"/>
                <w14:ligatures w14:val="standardContextual"/>
              </w:rPr>
            </w:pPr>
          </w:p>
        </w:tc>
      </w:tr>
      <w:tr w14:paraId="25392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Merge w:val="continue"/>
          </w:tcPr>
          <w:p w14:paraId="2AC19806">
            <w:pPr>
              <w:keepNext w:val="0"/>
              <w:keepLines w:val="0"/>
              <w:pageBreakBefore w:val="0"/>
              <w:widowControl w:val="0"/>
              <w:kinsoku/>
              <w:wordWrap/>
              <w:overflowPunct/>
              <w:topLinePunct w:val="0"/>
              <w:autoSpaceDE/>
              <w:autoSpaceDN/>
              <w:bidi w:val="0"/>
              <w:adjustRightInd/>
              <w:snapToGrid/>
              <w:spacing w:after="0" w:line="240" w:lineRule="exact"/>
              <w:ind w:firstLine="420" w:firstLineChars="200"/>
              <w:jc w:val="left"/>
              <w:textAlignment w:val="auto"/>
              <w:rPr>
                <w:rFonts w:hint="eastAsia" w:ascii="仿宋_GB2312" w:hAnsi="仿宋_GB2312" w:eastAsia="仿宋_GB2312" w:cs="仿宋_GB2312"/>
                <w:sz w:val="21"/>
                <w:szCs w:val="21"/>
                <w14:ligatures w14:val="standardContextual"/>
              </w:rPr>
            </w:pPr>
          </w:p>
        </w:tc>
        <w:tc>
          <w:tcPr>
            <w:tcW w:w="945" w:type="dxa"/>
            <w:vAlign w:val="center"/>
          </w:tcPr>
          <w:p w14:paraId="631751A5">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项目服务建议书 </w:t>
            </w:r>
          </w:p>
          <w:p w14:paraId="5FF1E0A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(10分)</w:t>
            </w:r>
          </w:p>
        </w:tc>
        <w:tc>
          <w:tcPr>
            <w:tcW w:w="7350" w:type="dxa"/>
          </w:tcPr>
          <w:p w14:paraId="35061237">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根据供应商是否能根据本项目提供服务建议书，项目服务建议内容具体可行、详细等进行综合评审：</w:t>
            </w:r>
          </w:p>
          <w:p w14:paraId="0D9A9A55">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1.项目服务建议详细完整合理，方案针对性高 ，切合本项目需求的，得10分；</w:t>
            </w:r>
          </w:p>
          <w:p w14:paraId="46D4342A">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2.项目服务建议较详细，方案针对性和合理性良好，较为满足本项目需求的，得6分；</w:t>
            </w:r>
          </w:p>
          <w:p w14:paraId="22627593">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3.项目服务建议一般，方案针对性和合理性一般，基本能满足本项目需求的，得3分；</w:t>
            </w:r>
          </w:p>
          <w:p w14:paraId="615E53D1">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4.项目服务建议差，方案针对性和合理性不够完善，不能本项目需求的，得1分；</w:t>
            </w:r>
          </w:p>
          <w:p w14:paraId="5D43D1D6">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5.未提供相应方案不得分。</w:t>
            </w:r>
          </w:p>
        </w:tc>
        <w:tc>
          <w:tcPr>
            <w:tcW w:w="712" w:type="dxa"/>
          </w:tcPr>
          <w:p w14:paraId="2A9A1A8B">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7555A13C">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r w14:paraId="7FC11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Merge w:val="restart"/>
            <w:vAlign w:val="center"/>
          </w:tcPr>
          <w:p w14:paraId="396B6329">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商务部分（30分）</w:t>
            </w:r>
          </w:p>
        </w:tc>
        <w:tc>
          <w:tcPr>
            <w:tcW w:w="945" w:type="dxa"/>
            <w:vAlign w:val="center"/>
          </w:tcPr>
          <w:p w14:paraId="67C7E912">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同类业绩 (10分)</w:t>
            </w:r>
          </w:p>
        </w:tc>
        <w:tc>
          <w:tcPr>
            <w:tcW w:w="7350" w:type="dxa"/>
          </w:tcPr>
          <w:p w14:paraId="7A2AE76F">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供应商具有的咨询服务类项目业绩，每提供一个合同业绩得2分。本项最高得10分。 </w:t>
            </w:r>
          </w:p>
          <w:p w14:paraId="7B4534D2">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注：须提供合同复印件并同时加盖供应商公章，不符合以上要求得不得分。</w:t>
            </w:r>
          </w:p>
        </w:tc>
        <w:tc>
          <w:tcPr>
            <w:tcW w:w="712" w:type="dxa"/>
          </w:tcPr>
          <w:p w14:paraId="3B6416F6">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0DA22BB8">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r w14:paraId="0BCE0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Merge w:val="continue"/>
          </w:tcPr>
          <w:p w14:paraId="41A2F601">
            <w:pPr>
              <w:keepNext w:val="0"/>
              <w:keepLines w:val="0"/>
              <w:pageBreakBefore w:val="0"/>
              <w:widowControl w:val="0"/>
              <w:kinsoku/>
              <w:wordWrap/>
              <w:overflowPunct/>
              <w:topLinePunct w:val="0"/>
              <w:autoSpaceDE/>
              <w:autoSpaceDN/>
              <w:bidi w:val="0"/>
              <w:adjustRightInd/>
              <w:snapToGrid/>
              <w:spacing w:after="0" w:line="240" w:lineRule="exact"/>
              <w:ind w:firstLine="420" w:firstLineChars="200"/>
              <w:jc w:val="left"/>
              <w:textAlignment w:val="auto"/>
              <w:rPr>
                <w:rFonts w:hint="eastAsia" w:ascii="仿宋_GB2312" w:hAnsi="仿宋_GB2312" w:eastAsia="仿宋_GB2312" w:cs="仿宋_GB2312"/>
                <w:sz w:val="21"/>
                <w:szCs w:val="21"/>
                <w14:ligatures w14:val="standardContextual"/>
              </w:rPr>
            </w:pPr>
          </w:p>
        </w:tc>
        <w:tc>
          <w:tcPr>
            <w:tcW w:w="945" w:type="dxa"/>
            <w:vAlign w:val="center"/>
          </w:tcPr>
          <w:p w14:paraId="23C463D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技术团队 (14分)</w:t>
            </w:r>
          </w:p>
        </w:tc>
        <w:tc>
          <w:tcPr>
            <w:tcW w:w="7350" w:type="dxa"/>
          </w:tcPr>
          <w:p w14:paraId="2402B30D">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根据供应商拟派遣的技术团队进行评审：</w:t>
            </w:r>
          </w:p>
          <w:p w14:paraId="52F7A177">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1.供应商拟派遣本项目项目负责人（仅一人）具有高级或以上职称的得4分，具有中级职称的得2分，最高得4分，无不得分； </w:t>
            </w:r>
          </w:p>
          <w:p w14:paraId="187C6016">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2.供应商拟派遣本项目技术人员中具有高级称职的，每个得2分，中级职称的，每个得1分，最高得4分，无不得分；</w:t>
            </w:r>
          </w:p>
          <w:p w14:paraId="4B455023">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 xml:space="preserve">3.供应商拟派遣本项目服务人员（ 除项目负责人、技术人员外）中具有硕士学位学历或以上的，每个得2分，本科学历的得1分，最高得6分，无不得分。  </w:t>
            </w:r>
          </w:p>
          <w:p w14:paraId="403658DD">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以上人员不重复计算，需提供相关证明材料加盖供应商公章。</w:t>
            </w:r>
          </w:p>
        </w:tc>
        <w:tc>
          <w:tcPr>
            <w:tcW w:w="712" w:type="dxa"/>
          </w:tcPr>
          <w:p w14:paraId="2253C339">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02BFBEE1">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r w14:paraId="345AD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vMerge w:val="continue"/>
          </w:tcPr>
          <w:p w14:paraId="24237414">
            <w:pPr>
              <w:keepNext w:val="0"/>
              <w:keepLines w:val="0"/>
              <w:pageBreakBefore w:val="0"/>
              <w:widowControl w:val="0"/>
              <w:kinsoku/>
              <w:wordWrap/>
              <w:overflowPunct/>
              <w:topLinePunct w:val="0"/>
              <w:autoSpaceDE/>
              <w:autoSpaceDN/>
              <w:bidi w:val="0"/>
              <w:adjustRightInd/>
              <w:snapToGrid/>
              <w:spacing w:after="0" w:line="240" w:lineRule="exact"/>
              <w:ind w:firstLine="420" w:firstLineChars="200"/>
              <w:jc w:val="left"/>
              <w:textAlignment w:val="auto"/>
              <w:rPr>
                <w:rFonts w:hint="eastAsia" w:ascii="仿宋_GB2312" w:hAnsi="仿宋_GB2312" w:eastAsia="仿宋_GB2312" w:cs="仿宋_GB2312"/>
                <w:sz w:val="21"/>
                <w:szCs w:val="21"/>
                <w14:ligatures w14:val="standardContextual"/>
              </w:rPr>
            </w:pPr>
          </w:p>
        </w:tc>
        <w:tc>
          <w:tcPr>
            <w:tcW w:w="945" w:type="dxa"/>
            <w:vAlign w:val="center"/>
          </w:tcPr>
          <w:p w14:paraId="7F28F8AE">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荣誉证书 (6分)</w:t>
            </w:r>
          </w:p>
        </w:tc>
        <w:tc>
          <w:tcPr>
            <w:tcW w:w="7350" w:type="dxa"/>
          </w:tcPr>
          <w:p w14:paraId="1017FFB4">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人获得过咨询服务相关奖项的，每提供一个证书得2分。本项最高得6 分。</w:t>
            </w:r>
          </w:p>
          <w:p w14:paraId="61D92E1C">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14:ligatures w14:val="standardContextual"/>
              </w:rPr>
              <w:t>注：需提供相关证明文件复印件并加盖</w:t>
            </w: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人公章，否则不得分。</w:t>
            </w:r>
          </w:p>
        </w:tc>
        <w:tc>
          <w:tcPr>
            <w:tcW w:w="712" w:type="dxa"/>
          </w:tcPr>
          <w:p w14:paraId="751FAB45">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7395CA97">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r w14:paraId="6861A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trPr>
        <w:tc>
          <w:tcPr>
            <w:tcW w:w="775" w:type="dxa"/>
            <w:vAlign w:val="center"/>
          </w:tcPr>
          <w:p w14:paraId="3F4856FF">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报价</w:t>
            </w:r>
          </w:p>
        </w:tc>
        <w:tc>
          <w:tcPr>
            <w:tcW w:w="945" w:type="dxa"/>
            <w:vAlign w:val="center"/>
          </w:tcPr>
          <w:p w14:paraId="553E5D89">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报价得分 (10分)</w:t>
            </w:r>
          </w:p>
        </w:tc>
        <w:tc>
          <w:tcPr>
            <w:tcW w:w="7350" w:type="dxa"/>
          </w:tcPr>
          <w:p w14:paraId="549735FF">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报价得分＝（评标基准价/</w:t>
            </w: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报价）×价格分值【注：满足招标文件要求且</w:t>
            </w: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价格最低的</w:t>
            </w:r>
            <w:r>
              <w:rPr>
                <w:rFonts w:hint="eastAsia" w:ascii="仿宋_GB2312" w:hAnsi="仿宋_GB2312" w:eastAsia="仿宋_GB2312" w:cs="仿宋_GB2312"/>
                <w:sz w:val="21"/>
                <w:szCs w:val="21"/>
                <w:lang w:eastAsia="zh-CN"/>
                <w14:ligatures w14:val="standardContextual"/>
              </w:rPr>
              <w:t>响应</w:t>
            </w:r>
            <w:r>
              <w:rPr>
                <w:rFonts w:hint="eastAsia" w:ascii="仿宋_GB2312" w:hAnsi="仿宋_GB2312" w:eastAsia="仿宋_GB2312" w:cs="仿宋_GB2312"/>
                <w:sz w:val="21"/>
                <w:szCs w:val="21"/>
                <w14:ligatures w14:val="standardContextual"/>
              </w:rPr>
              <w:t>报价为评标基准价。】最低报价不是中标的唯一依据。</w:t>
            </w:r>
          </w:p>
        </w:tc>
        <w:tc>
          <w:tcPr>
            <w:tcW w:w="712" w:type="dxa"/>
          </w:tcPr>
          <w:p w14:paraId="0A6484A0">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0208BD02">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r w14:paraId="7651D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trPr>
        <w:tc>
          <w:tcPr>
            <w:tcW w:w="9070" w:type="dxa"/>
            <w:gridSpan w:val="3"/>
            <w:vAlign w:val="center"/>
          </w:tcPr>
          <w:p w14:paraId="0131F4E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sz w:val="21"/>
                <w:szCs w:val="21"/>
                <w:lang w:val="en-US" w:eastAsia="zh-CN"/>
                <w14:ligatures w14:val="standardContextual"/>
              </w:rPr>
            </w:pPr>
            <w:r>
              <w:rPr>
                <w:rFonts w:hint="eastAsia" w:ascii="仿宋_GB2312" w:hAnsi="仿宋_GB2312" w:eastAsia="仿宋_GB2312" w:cs="仿宋_GB2312"/>
                <w:sz w:val="21"/>
                <w:szCs w:val="21"/>
                <w:lang w:val="en-US" w:eastAsia="zh-CN"/>
                <w14:ligatures w14:val="standardContextual"/>
              </w:rPr>
              <w:t>合计</w:t>
            </w:r>
          </w:p>
        </w:tc>
        <w:tc>
          <w:tcPr>
            <w:tcW w:w="712" w:type="dxa"/>
          </w:tcPr>
          <w:p w14:paraId="5EEA689A">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c>
          <w:tcPr>
            <w:tcW w:w="1275" w:type="dxa"/>
          </w:tcPr>
          <w:p w14:paraId="34741E80">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_GB2312" w:hAnsi="仿宋_GB2312" w:eastAsia="仿宋_GB2312" w:cs="仿宋_GB2312"/>
                <w:sz w:val="21"/>
                <w:szCs w:val="21"/>
                <w14:ligatures w14:val="standardContextual"/>
              </w:rPr>
            </w:pPr>
          </w:p>
        </w:tc>
      </w:tr>
    </w:tbl>
    <w:p w14:paraId="24E52D07">
      <w:pPr>
        <w:keepNext w:val="0"/>
        <w:keepLines w:val="0"/>
        <w:pageBreakBefore w:val="0"/>
        <w:widowControl w:val="0"/>
        <w:tabs>
          <w:tab w:val="left" w:pos="709"/>
        </w:tabs>
        <w:kinsoku/>
        <w:wordWrap/>
        <w:overflowPunct/>
        <w:topLinePunct w:val="0"/>
        <w:autoSpaceDE/>
        <w:autoSpaceDN/>
        <w:bidi w:val="0"/>
        <w:adjustRightInd w:val="0"/>
        <w:snapToGrid w:val="0"/>
        <w:spacing w:line="20" w:lineRule="exact"/>
        <w:jc w:val="left"/>
        <w:textAlignment w:val="auto"/>
      </w:pPr>
      <w:bookmarkStart w:id="0" w:name="_GoBack"/>
      <w:bookmarkEnd w:id="0"/>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6"/>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774CF"/>
    <w:multiLevelType w:val="singleLevel"/>
    <w:tmpl w:val="7B9774C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49E1"/>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AD2252"/>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00BD"/>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8B0659C"/>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A722CC"/>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4">
    <w:name w:val="Plain Text"/>
    <w:basedOn w:val="1"/>
    <w:link w:val="16"/>
    <w:unhideWhenUsed/>
    <w:qFormat/>
    <w:uiPriority w:val="0"/>
    <w:rPr>
      <w:rFonts w:ascii="宋体" w:hAnsi="Courier New" w:cstheme="minorBidi"/>
      <w:szCs w:val="2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locked/>
    <w:uiPriority w:val="0"/>
    <w:rPr>
      <w:rFonts w:ascii="宋体" w:hAnsi="Courier New" w:eastAsia="宋体"/>
    </w:rPr>
  </w:style>
  <w:style w:type="character" w:customStyle="1" w:styleId="16">
    <w:name w:val="纯文本 Char1"/>
    <w:basedOn w:val="10"/>
    <w:link w:val="4"/>
    <w:semiHidden/>
    <w:qFormat/>
    <w:uiPriority w:val="99"/>
    <w:rPr>
      <w:rFonts w:ascii="宋体" w:hAnsi="Courier New" w:eastAsia="宋体" w:cs="Courier New"/>
      <w:szCs w:val="21"/>
    </w:rPr>
  </w:style>
  <w:style w:type="paragraph" w:customStyle="1" w:styleId="17">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1147</Words>
  <Characters>1175</Characters>
  <Lines>9</Lines>
  <Paragraphs>2</Paragraphs>
  <TotalTime>2</TotalTime>
  <ScaleCrop>false</ScaleCrop>
  <LinksUpToDate>false</LinksUpToDate>
  <CharactersWithSpaces>1186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2025-12-25T03:17:00Z</dcterms:created>
  <dc:creator>倪良军</dc:creator>
  <cp:lastModifiedBy>伍卓坚</cp:lastModifiedBy>
  <cp:lastPrinted>2025-12-04T09:07:00Z</cp:lastPrinted>
  <dcterms:modified xsi:type="dcterms:W3CDTF">2026-01-30T17:01:12Z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eyJoZGlkIjoiYTUxMDM2ZmRjMmE2ZWY4NmMzMzJiYTVkYzk3ZjQ2MjciLCJ1c2VySWQiOiIyMjY0NjUzODUifQ==</vt:lpwstr>
  </property>
  <property fmtid="{D5CDD505-2E9C-101B-9397-08002B2CF9AE}" pid="4" name="ICV">
    <vt:lpwstr>75C389FE2B634A749DB3C1DE4550C137_13</vt:lpwstr>
  </property>
</Properties>
</file>