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病床（含成人、儿童病床和骨科床）项目（）</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中“具体技术(参数)要求的技术参数、要求的应响情况（共17条）进行评审：对比各响应文件</w:t>
            </w:r>
            <w:r>
              <w:rPr>
                <w:rFonts w:hint="eastAsia" w:ascii="宋体" w:hAnsi="宋体" w:cs="宋体"/>
                <w:color w:val="000000"/>
                <w:kern w:val="0"/>
                <w:sz w:val="18"/>
                <w:szCs w:val="18"/>
                <w:lang w:eastAsia="zh-CN" w:bidi="ar"/>
              </w:rPr>
              <w:t>的</w:t>
            </w:r>
            <w:bookmarkStart w:id="0" w:name="_GoBack"/>
            <w:bookmarkEnd w:id="0"/>
            <w:r>
              <w:rPr>
                <w:rFonts w:hint="eastAsia" w:ascii="宋体" w:hAnsi="宋体" w:cs="宋体"/>
                <w:color w:val="000000"/>
                <w:kern w:val="0"/>
                <w:sz w:val="18"/>
                <w:szCs w:val="18"/>
                <w:lang w:bidi="ar"/>
              </w:rPr>
              <w:t>技术参数、要求，最高得30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对比各投标人2023年1月1日至今同类产品业绩，本项最高得3分；无同类产品业绩的，不得分。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0F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17CE"/>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3FB2"/>
    <w:rsid w:val="00566ADB"/>
    <w:rsid w:val="0057136E"/>
    <w:rsid w:val="005828F9"/>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D51FB"/>
    <w:rsid w:val="006D60FD"/>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C7494"/>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062B3"/>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064D5"/>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8C618E7"/>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904</Words>
  <Characters>930</Characters>
  <Lines>7</Lines>
  <Paragraphs>2</Paragraphs>
  <TotalTime>2</TotalTime>
  <ScaleCrop>false</ScaleCrop>
  <LinksUpToDate>false</LinksUpToDate>
  <CharactersWithSpaces>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2026-01-15T09:47:00Z</dcterms:created>
  <dc:creator>倪良军</dc:creator>
  <cp:lastModifiedBy>张小霞</cp:lastModifiedBy>
  <cp:lastPrinted>2025-12-04T09:07:00Z</cp:lastPrinted>
  <dcterms:modified xsi:type="dcterms:W3CDTF">2026-01-28T08:37:24Z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eyJoZGlkIjoiNmQxZjBlNDE5YmVjM2I0ZTlkYTk3MTJmN2FkZjBkY2UiLCJ1c2VySWQiOiI1MjczMTA5MDAifQ==</vt:lpwstr>
  </property>
  <property fmtid="{D5CDD505-2E9C-101B-9397-08002B2CF9AE}" pid="4" name="ICV">
    <vt:lpwstr>61322F58290340038845EAABCE33ABCB_13</vt:lpwstr>
  </property>
</Properties>
</file>