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293D8405" w:rsidR="00592401" w:rsidRDefault="00532AE7">
      <w:pPr>
        <w:spacing w:line="480" w:lineRule="exact"/>
        <w:jc w:val="center"/>
        <w:rPr>
          <w:rFonts w:ascii="方正小标宋简体" w:eastAsia="方正小标宋简体" w:hAnsi="宋体" w:cs="宋体"/>
          <w:kern w:val="0"/>
          <w:sz w:val="36"/>
          <w:szCs w:val="36"/>
        </w:rPr>
      </w:pPr>
      <w:r w:rsidRPr="00532AE7">
        <w:rPr>
          <w:rFonts w:ascii="方正小标宋简体" w:eastAsia="方正小标宋简体" w:hAnsi="宋体" w:cs="宋体" w:hint="eastAsia"/>
          <w:kern w:val="0"/>
          <w:sz w:val="36"/>
          <w:szCs w:val="36"/>
        </w:rPr>
        <w:t>高流量吸氧仪</w:t>
      </w:r>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2522B3AD"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566ADB">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条）进行评审：对比各响应文件“▲”号的重要技术参数、要求，最高得</w:t>
            </w:r>
            <w:r w:rsidR="00A25994">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679F5AAF" w:rsidR="00592401" w:rsidRDefault="00532AE7">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bookmarkStart w:id="0" w:name="_GoBack"/>
            <w:bookmarkEnd w:id="0"/>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7AB12" w14:textId="77777777" w:rsidR="00451EA8" w:rsidRDefault="00451EA8">
      <w:r>
        <w:separator/>
      </w:r>
    </w:p>
  </w:endnote>
  <w:endnote w:type="continuationSeparator" w:id="0">
    <w:p w14:paraId="2BBE51A3" w14:textId="77777777" w:rsidR="00451EA8" w:rsidRDefault="0045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3E808" w14:textId="77777777" w:rsidR="00451EA8" w:rsidRDefault="00451EA8">
      <w:r>
        <w:separator/>
      </w:r>
    </w:p>
  </w:footnote>
  <w:footnote w:type="continuationSeparator" w:id="0">
    <w:p w14:paraId="191E6C53" w14:textId="77777777" w:rsidR="00451EA8" w:rsidRDefault="00451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51EA8"/>
    <w:rsid w:val="00474FC2"/>
    <w:rsid w:val="00476B5C"/>
    <w:rsid w:val="00480B3E"/>
    <w:rsid w:val="00490549"/>
    <w:rsid w:val="004C1423"/>
    <w:rsid w:val="0050581E"/>
    <w:rsid w:val="005243A5"/>
    <w:rsid w:val="00526DC0"/>
    <w:rsid w:val="00530482"/>
    <w:rsid w:val="00532AE7"/>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2026-01-14T10:01:00Z</dcterms:created>
  <dcterms:modified xsi:type="dcterms:W3CDTF">2026-01-14T10:01:00Z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