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3163932B" w:rsidR="00592401" w:rsidRDefault="007947BC">
      <w:pPr>
        <w:spacing w:line="480" w:lineRule="exact"/>
        <w:jc w:val="center"/>
        <w:rPr>
          <w:rFonts w:ascii="方正小标宋简体" w:eastAsia="方正小标宋简体" w:hAnsi="宋体" w:cs="宋体"/>
          <w:kern w:val="0"/>
          <w:sz w:val="36"/>
          <w:szCs w:val="36"/>
        </w:rPr>
      </w:pPr>
      <w:bookmarkStart w:id="0" w:name="_GoBack"/>
      <w:r w:rsidRPr="007947BC">
        <w:rPr>
          <w:rFonts w:ascii="方正小标宋简体" w:eastAsia="方正小标宋简体" w:hAnsi="宋体" w:cs="宋体" w:hint="eastAsia"/>
          <w:kern w:val="0"/>
          <w:sz w:val="36"/>
          <w:szCs w:val="36"/>
        </w:rPr>
        <w:t>射频消融系统（高频手术设备）</w:t>
      </w:r>
      <w:bookmarkEnd w:id="0"/>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0"/>
        <w:gridCol w:w="1071"/>
        <w:gridCol w:w="4874"/>
        <w:gridCol w:w="846"/>
        <w:gridCol w:w="1062"/>
        <w:gridCol w:w="1062"/>
      </w:tblGrid>
      <w:tr w:rsidR="00592401" w14:paraId="2308CFFE" w14:textId="77777777" w:rsidTr="007947BC">
        <w:trPr>
          <w:trHeight w:val="270"/>
          <w:jc w:val="center"/>
        </w:trPr>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rsidTr="007947BC">
        <w:trPr>
          <w:trHeight w:val="270"/>
          <w:jc w:val="center"/>
        </w:trPr>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7947BC" w14:paraId="27113E8A" w14:textId="77777777" w:rsidTr="007947BC">
        <w:trPr>
          <w:trHeight w:val="2340"/>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14:paraId="62330E6C" w14:textId="2632BFB7" w:rsidR="007947BC" w:rsidRDefault="007947BC" w:rsidP="007947BC">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技术评分（30分）</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7947BC" w:rsidRDefault="007947BC"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23065FFE" w:rsidR="007947BC" w:rsidRDefault="007947BC" w:rsidP="007947BC">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 中“具体技术(参数)要求” 带“▲”号的重要技术参数、要求的应响情况（共 2条）进行评审：对比各响应文件“▲”号的重要技术参数、要求，最高得6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1C03362A" w:rsidR="007947BC" w:rsidRDefault="007947BC">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65AF5F88" w14:textId="77777777" w:rsidTr="007947BC">
        <w:trPr>
          <w:trHeight w:val="2260"/>
          <w:jc w:val="center"/>
        </w:trPr>
        <w:tc>
          <w:tcPr>
            <w:tcW w:w="730" w:type="dxa"/>
            <w:vMerge/>
            <w:tcBorders>
              <w:left w:val="single" w:sz="4" w:space="0" w:color="000000"/>
              <w:right w:val="single" w:sz="4" w:space="0" w:color="000000"/>
            </w:tcBorders>
            <w:shd w:val="clear" w:color="auto" w:fill="auto"/>
            <w:vAlign w:val="center"/>
          </w:tcPr>
          <w:p w14:paraId="2730B91B" w14:textId="77777777" w:rsidR="007947BC" w:rsidRDefault="007947BC">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B23C" w14:textId="77777777" w:rsidR="007947BC" w:rsidRDefault="007947BC"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不带“▲”号条款的一般性技术参数</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D622" w14:textId="45852FB6" w:rsidR="007947BC" w:rsidRDefault="007947BC" w:rsidP="007947BC">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具体技术(参数)要求”不带“▲”、“★”号的一般技术参数、要求的应响情况（4条）进行评审：对比各响应文件不带“▲”、“★”号的一般技术参数、要求，最高得4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094" w14:textId="69475FCB" w:rsidR="007947BC" w:rsidRDefault="007947BC">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E20"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A0D8"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7FDEDE16" w14:textId="77777777" w:rsidTr="007947BC">
        <w:trPr>
          <w:trHeight w:val="760"/>
          <w:jc w:val="center"/>
        </w:trPr>
        <w:tc>
          <w:tcPr>
            <w:tcW w:w="730" w:type="dxa"/>
            <w:vMerge/>
            <w:tcBorders>
              <w:left w:val="single" w:sz="4" w:space="0" w:color="000000"/>
              <w:right w:val="single" w:sz="4" w:space="0" w:color="000000"/>
            </w:tcBorders>
            <w:shd w:val="clear" w:color="auto" w:fill="auto"/>
            <w:vAlign w:val="center"/>
          </w:tcPr>
          <w:p w14:paraId="06756254" w14:textId="77777777" w:rsidR="007947BC" w:rsidRDefault="007947BC">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101A55DB" w:rsidR="007947BC" w:rsidRDefault="007947BC"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67890DB9" w:rsidR="007947BC" w:rsidRDefault="007947BC" w:rsidP="007947BC">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7 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61141F52" w:rsidR="007947BC" w:rsidRDefault="007947BC">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6F9C996A" w14:textId="77777777" w:rsidTr="007947BC">
        <w:trPr>
          <w:trHeight w:val="624"/>
          <w:jc w:val="center"/>
        </w:trPr>
        <w:tc>
          <w:tcPr>
            <w:tcW w:w="730" w:type="dxa"/>
            <w:vMerge/>
            <w:tcBorders>
              <w:left w:val="single" w:sz="4" w:space="0" w:color="000000"/>
              <w:right w:val="single" w:sz="4" w:space="0" w:color="000000"/>
            </w:tcBorders>
            <w:shd w:val="clear" w:color="auto" w:fill="auto"/>
            <w:vAlign w:val="center"/>
          </w:tcPr>
          <w:p w14:paraId="49A9B36D" w14:textId="77777777" w:rsidR="007947BC" w:rsidRDefault="007947BC">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4E84ED5B" w:rsidR="007947BC" w:rsidRDefault="007947BC"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162C6887" w:rsidR="007947BC" w:rsidRDefault="007947BC" w:rsidP="007947BC">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对比各投标产品使用年限，最高得3分。得分=（被评分产品使用年限/最高使用年限）×3（此项统一由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25724293" w:rsidR="007947BC" w:rsidRDefault="007947BC">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2496DD8B" w14:textId="77777777" w:rsidTr="007947BC">
        <w:trPr>
          <w:trHeight w:val="624"/>
          <w:jc w:val="center"/>
        </w:trPr>
        <w:tc>
          <w:tcPr>
            <w:tcW w:w="730" w:type="dxa"/>
            <w:vMerge/>
            <w:tcBorders>
              <w:left w:val="single" w:sz="4" w:space="0" w:color="000000"/>
              <w:bottom w:val="single" w:sz="4" w:space="0" w:color="000000"/>
              <w:right w:val="single" w:sz="4" w:space="0" w:color="000000"/>
            </w:tcBorders>
            <w:shd w:val="clear" w:color="auto" w:fill="auto"/>
            <w:vAlign w:val="center"/>
          </w:tcPr>
          <w:p w14:paraId="31B08052" w14:textId="77777777" w:rsidR="007947BC" w:rsidRDefault="007947BC">
            <w:pPr>
              <w:widowControl/>
              <w:spacing w:line="240" w:lineRule="exact"/>
              <w:jc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A354" w14:textId="799D7BF6" w:rsidR="007947BC" w:rsidRPr="007947BC" w:rsidRDefault="007947BC" w:rsidP="007947BC">
            <w:pPr>
              <w:spacing w:line="300" w:lineRule="exact"/>
              <w:jc w:val="center"/>
              <w:rPr>
                <w:rFonts w:ascii="宋体" w:hAnsi="宋体" w:cs="宋体" w:hint="eastAsia"/>
                <w:bCs/>
                <w:sz w:val="18"/>
                <w:szCs w:val="18"/>
              </w:rPr>
            </w:pPr>
            <w:r>
              <w:rPr>
                <w:rFonts w:ascii="宋体" w:hAnsi="宋体" w:cs="宋体" w:hint="eastAsia"/>
                <w:bCs/>
                <w:sz w:val="18"/>
                <w:szCs w:val="18"/>
              </w:rPr>
              <w:t>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1A73" w14:textId="77777777" w:rsidR="007947BC" w:rsidRDefault="007947BC" w:rsidP="007947BC">
            <w:pPr>
              <w:spacing w:line="300" w:lineRule="exact"/>
              <w:jc w:val="center"/>
              <w:rPr>
                <w:rFonts w:ascii="宋体" w:hAnsi="宋体" w:cs="宋体"/>
                <w:bCs/>
                <w:sz w:val="18"/>
                <w:szCs w:val="18"/>
              </w:rPr>
            </w:pPr>
            <w:r>
              <w:rPr>
                <w:rFonts w:ascii="宋体" w:hAnsi="宋体" w:cs="宋体" w:hint="eastAsia"/>
                <w:bCs/>
                <w:sz w:val="18"/>
                <w:szCs w:val="18"/>
              </w:rPr>
              <w:t>价格得分=（最低投标价/被评分供应商投标价）×10</w:t>
            </w:r>
          </w:p>
          <w:p w14:paraId="0081A9AE" w14:textId="135471AA" w:rsidR="007947BC" w:rsidRDefault="007947BC" w:rsidP="007947BC">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bCs/>
                <w:sz w:val="18"/>
                <w:szCs w:val="18"/>
              </w:rPr>
              <w:t>（此项统一由</w:t>
            </w:r>
            <w:proofErr w:type="gramStart"/>
            <w:r>
              <w:rPr>
                <w:rFonts w:ascii="宋体" w:hAnsi="宋体" w:cs="宋体" w:hint="eastAsia"/>
                <w:bCs/>
                <w:sz w:val="18"/>
                <w:szCs w:val="18"/>
              </w:rPr>
              <w:t>采购办</w:t>
            </w:r>
            <w:proofErr w:type="gramEnd"/>
            <w:r>
              <w:rPr>
                <w:rFonts w:ascii="宋体" w:hAnsi="宋体" w:cs="宋体" w:hint="eastAsia"/>
                <w:bCs/>
                <w:sz w:val="18"/>
                <w:szCs w:val="18"/>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3BBA" w14:textId="29A98647" w:rsidR="007947BC" w:rsidRDefault="007947BC">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10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F4EF"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35A2A"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5C3B1D2D" w14:textId="77777777" w:rsidTr="007947BC">
        <w:trPr>
          <w:trHeight w:val="1134"/>
          <w:jc w:val="center"/>
        </w:trPr>
        <w:tc>
          <w:tcPr>
            <w:tcW w:w="730" w:type="dxa"/>
            <w:vMerge w:val="restart"/>
            <w:tcBorders>
              <w:top w:val="single" w:sz="4" w:space="0" w:color="000000"/>
              <w:left w:val="single" w:sz="4" w:space="0" w:color="000000"/>
              <w:right w:val="single" w:sz="4" w:space="0" w:color="000000"/>
            </w:tcBorders>
            <w:shd w:val="clear" w:color="auto" w:fill="auto"/>
            <w:vAlign w:val="center"/>
          </w:tcPr>
          <w:p w14:paraId="7EEA7833" w14:textId="1E1E2988" w:rsidR="007947BC" w:rsidRDefault="007947BC" w:rsidP="007947BC">
            <w:pPr>
              <w:widowControl/>
              <w:spacing w:line="240" w:lineRule="exact"/>
              <w:textAlignment w:val="center"/>
              <w:rPr>
                <w:rFonts w:ascii="宋体" w:hAnsi="宋体" w:cs="宋体"/>
                <w:color w:val="000000"/>
                <w:sz w:val="18"/>
                <w:szCs w:val="18"/>
              </w:rPr>
            </w:pPr>
            <w:r>
              <w:rPr>
                <w:rFonts w:ascii="宋体" w:hAnsi="宋体" w:cs="宋体" w:hint="eastAsia"/>
                <w:bCs/>
                <w:sz w:val="18"/>
                <w:szCs w:val="18"/>
              </w:rPr>
              <w:t>耗材评</w:t>
            </w:r>
            <w:r>
              <w:rPr>
                <w:rFonts w:ascii="宋体" w:hAnsi="宋体" w:cs="宋体" w:hint="eastAsia"/>
                <w:bCs/>
                <w:sz w:val="18"/>
                <w:szCs w:val="18"/>
              </w:rPr>
              <w:t>分</w:t>
            </w:r>
            <w:r>
              <w:rPr>
                <w:rFonts w:ascii="宋体" w:hAnsi="宋体" w:cs="宋体" w:hint="eastAsia"/>
                <w:bCs/>
                <w:sz w:val="18"/>
                <w:szCs w:val="18"/>
              </w:rPr>
              <w:t>（70分）</w:t>
            </w:r>
          </w:p>
        </w:tc>
        <w:tc>
          <w:tcPr>
            <w:tcW w:w="1071" w:type="dxa"/>
            <w:vMerge w:val="restart"/>
            <w:tcBorders>
              <w:top w:val="single" w:sz="4" w:space="0" w:color="000000"/>
              <w:left w:val="single" w:sz="4" w:space="0" w:color="000000"/>
              <w:right w:val="single" w:sz="4" w:space="0" w:color="000000"/>
            </w:tcBorders>
            <w:shd w:val="clear" w:color="auto" w:fill="auto"/>
            <w:vAlign w:val="center"/>
          </w:tcPr>
          <w:p w14:paraId="48C11D81" w14:textId="3010F26D" w:rsidR="007947BC" w:rsidRDefault="007947BC" w:rsidP="00A25994">
            <w:pPr>
              <w:widowControl/>
              <w:spacing w:line="240" w:lineRule="exact"/>
              <w:textAlignment w:val="center"/>
              <w:rPr>
                <w:rFonts w:ascii="宋体" w:hAnsi="宋体" w:cs="宋体"/>
                <w:color w:val="000000"/>
                <w:sz w:val="18"/>
                <w:szCs w:val="18"/>
              </w:rPr>
            </w:pPr>
            <w:r w:rsidRPr="00384B7A">
              <w:rPr>
                <w:rFonts w:ascii="宋体" w:hAnsi="宋体" w:cs="宋体" w:hint="eastAsia"/>
                <w:bCs/>
                <w:sz w:val="18"/>
                <w:szCs w:val="18"/>
              </w:rPr>
              <w:t>商务评分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25AC72C2" w:rsidR="007947BC" w:rsidRDefault="007947BC" w:rsidP="00A25994">
            <w:pPr>
              <w:widowControl/>
              <w:spacing w:line="240" w:lineRule="exact"/>
              <w:textAlignment w:val="center"/>
              <w:rPr>
                <w:rFonts w:ascii="宋体" w:hAnsi="宋体" w:cs="宋体"/>
                <w:color w:val="000000"/>
                <w:sz w:val="18"/>
                <w:szCs w:val="18"/>
              </w:rPr>
            </w:pPr>
            <w:r w:rsidRPr="00144815">
              <w:rPr>
                <w:rFonts w:asciiTheme="minorEastAsia" w:eastAsiaTheme="minorEastAsia" w:hAnsiTheme="minorEastAsia" w:hint="eastAsia"/>
                <w:sz w:val="18"/>
                <w:szCs w:val="18"/>
              </w:rPr>
              <w:t>是否能</w:t>
            </w:r>
            <w:proofErr w:type="gramStart"/>
            <w:r w:rsidRPr="00144815">
              <w:rPr>
                <w:rFonts w:asciiTheme="minorEastAsia" w:eastAsiaTheme="minorEastAsia" w:hAnsiTheme="minorEastAsia" w:hint="eastAsia"/>
                <w:sz w:val="18"/>
                <w:szCs w:val="18"/>
              </w:rPr>
              <w:t>在招采平台</w:t>
            </w:r>
            <w:proofErr w:type="gramEnd"/>
            <w:r w:rsidRPr="00144815">
              <w:rPr>
                <w:rFonts w:asciiTheme="minorEastAsia" w:eastAsiaTheme="minorEastAsia" w:hAnsiTheme="minorEastAsia" w:hint="eastAsia"/>
                <w:sz w:val="18"/>
                <w:szCs w:val="18"/>
              </w:rPr>
              <w:t>签订合同。</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23FF7DB4" w:rsidR="007947BC" w:rsidRDefault="007947BC">
            <w:pPr>
              <w:widowControl/>
              <w:spacing w:line="240" w:lineRule="exact"/>
              <w:jc w:val="center"/>
              <w:textAlignment w:val="center"/>
              <w:rPr>
                <w:rFonts w:ascii="宋体" w:hAnsi="宋体" w:cs="宋体"/>
                <w:color w:val="000000"/>
                <w:sz w:val="18"/>
                <w:szCs w:val="18"/>
              </w:rPr>
            </w:pPr>
            <w:r w:rsidRPr="00144815">
              <w:rPr>
                <w:rFonts w:asciiTheme="minorEastAsia" w:eastAsiaTheme="minorEastAsia" w:hAnsiTheme="minorEastAsia" w:hint="eastAsia"/>
                <w:sz w:val="18"/>
                <w:szCs w:val="18"/>
              </w:rPr>
              <w:t>能则得3分，不能不得分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4D6744FA" w14:textId="77777777" w:rsidTr="007947BC">
        <w:trPr>
          <w:trHeight w:val="1247"/>
          <w:jc w:val="center"/>
        </w:trPr>
        <w:tc>
          <w:tcPr>
            <w:tcW w:w="730" w:type="dxa"/>
            <w:vMerge/>
            <w:tcBorders>
              <w:left w:val="single" w:sz="4" w:space="0" w:color="000000"/>
              <w:right w:val="single" w:sz="4" w:space="0" w:color="000000"/>
            </w:tcBorders>
            <w:shd w:val="clear" w:color="auto" w:fill="auto"/>
            <w:vAlign w:val="center"/>
          </w:tcPr>
          <w:p w14:paraId="1C29C600" w14:textId="77777777" w:rsidR="007947BC" w:rsidRDefault="007947BC">
            <w:pPr>
              <w:widowControl/>
              <w:spacing w:line="240" w:lineRule="exact"/>
              <w:textAlignment w:val="center"/>
              <w:rPr>
                <w:rFonts w:ascii="宋体" w:hAnsi="宋体" w:cs="宋体" w:hint="eastAsia"/>
                <w:color w:val="000000"/>
                <w:kern w:val="0"/>
                <w:sz w:val="18"/>
                <w:szCs w:val="18"/>
                <w:lang w:bidi="ar"/>
              </w:rPr>
            </w:pPr>
          </w:p>
        </w:tc>
        <w:tc>
          <w:tcPr>
            <w:tcW w:w="1071" w:type="dxa"/>
            <w:vMerge/>
            <w:tcBorders>
              <w:left w:val="single" w:sz="4" w:space="0" w:color="000000"/>
              <w:bottom w:val="single" w:sz="4" w:space="0" w:color="000000"/>
              <w:right w:val="single" w:sz="4" w:space="0" w:color="000000"/>
            </w:tcBorders>
            <w:shd w:val="clear" w:color="auto" w:fill="auto"/>
            <w:vAlign w:val="center"/>
          </w:tcPr>
          <w:p w14:paraId="099DA227" w14:textId="77777777" w:rsidR="007947BC" w:rsidRDefault="007947BC" w:rsidP="00A25994">
            <w:pPr>
              <w:widowControl/>
              <w:spacing w:line="240" w:lineRule="exact"/>
              <w:textAlignment w:val="center"/>
              <w:rPr>
                <w:rFonts w:ascii="宋体" w:hAnsi="宋体" w:cs="宋体" w:hint="eastAsia"/>
                <w:color w:val="000000"/>
                <w:kern w:val="0"/>
                <w:sz w:val="18"/>
                <w:szCs w:val="18"/>
                <w:lang w:bidi="ar"/>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275D3" w14:textId="1B863471" w:rsidR="007947BC" w:rsidRDefault="007947BC" w:rsidP="00A25994">
            <w:pPr>
              <w:widowControl/>
              <w:spacing w:line="240" w:lineRule="exact"/>
              <w:textAlignment w:val="center"/>
              <w:rPr>
                <w:rFonts w:ascii="宋体" w:hAnsi="宋体" w:cs="宋体" w:hint="eastAsia"/>
                <w:color w:val="000000"/>
                <w:kern w:val="0"/>
                <w:sz w:val="18"/>
                <w:szCs w:val="18"/>
                <w:lang w:bidi="ar"/>
              </w:rPr>
            </w:pPr>
            <w:r w:rsidRPr="00144815">
              <w:rPr>
                <w:rFonts w:asciiTheme="minorEastAsia" w:eastAsiaTheme="minorEastAsia" w:hAnsiTheme="minorEastAsia" w:hint="eastAsia"/>
                <w:sz w:val="18"/>
                <w:szCs w:val="18"/>
              </w:rPr>
              <w:t>对比产品的销售业绩情况。有3家或以上半年内三甲医院销售发票（7分）；有3家或以上三甲医院7个月至12个月内的销售发票（5分）；有2家及以下三甲医院或者3家二甲医院半年内的销售发票（3分）；有半年内医院销售发票（1分）未能提供销售发票（0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20AD" w14:textId="744F7FA2" w:rsidR="007947BC" w:rsidRDefault="007947BC" w:rsidP="007947BC">
            <w:pPr>
              <w:widowControl/>
              <w:spacing w:line="240" w:lineRule="exact"/>
              <w:jc w:val="center"/>
              <w:textAlignment w:val="center"/>
              <w:rPr>
                <w:rFonts w:ascii="宋体" w:hAnsi="宋体" w:cs="宋体" w:hint="eastAsia"/>
                <w:color w:val="000000"/>
                <w:kern w:val="0"/>
                <w:sz w:val="18"/>
                <w:szCs w:val="18"/>
                <w:lang w:bidi="ar"/>
              </w:rPr>
            </w:pPr>
            <w:r w:rsidRPr="00144815">
              <w:rPr>
                <w:rFonts w:asciiTheme="minorEastAsia" w:eastAsiaTheme="minorEastAsia" w:hAnsiTheme="minorEastAsia" w:hint="eastAsia"/>
                <w:sz w:val="18"/>
                <w:szCs w:val="18"/>
              </w:rPr>
              <w:t>7</w:t>
            </w:r>
            <w:r>
              <w:rPr>
                <w:rFonts w:ascii="宋体" w:hAnsi="宋体" w:cs="宋体" w:hint="eastAsia"/>
                <w:color w:val="000000"/>
                <w:kern w:val="0"/>
                <w:sz w:val="18"/>
                <w:szCs w:val="18"/>
                <w:lang w:bidi="ar"/>
              </w:rPr>
              <w:t xml:space="preserve"> </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584CF"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4CBB1"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22ECE2C3" w14:textId="77777777" w:rsidTr="007947BC">
        <w:trPr>
          <w:trHeight w:val="840"/>
          <w:jc w:val="center"/>
        </w:trPr>
        <w:tc>
          <w:tcPr>
            <w:tcW w:w="730" w:type="dxa"/>
            <w:vMerge/>
            <w:tcBorders>
              <w:left w:val="single" w:sz="4" w:space="0" w:color="000000"/>
              <w:right w:val="single" w:sz="4" w:space="0" w:color="000000"/>
            </w:tcBorders>
            <w:shd w:val="clear" w:color="auto" w:fill="auto"/>
            <w:vAlign w:val="center"/>
          </w:tcPr>
          <w:p w14:paraId="093A96C3" w14:textId="77777777" w:rsidR="007947BC" w:rsidRDefault="007947BC">
            <w:pPr>
              <w:widowControl/>
              <w:spacing w:line="240" w:lineRule="exact"/>
              <w:rPr>
                <w:rFonts w:ascii="宋体" w:hAnsi="宋体" w:cs="宋体"/>
                <w:color w:val="000000"/>
                <w:sz w:val="18"/>
                <w:szCs w:val="18"/>
              </w:rPr>
            </w:pPr>
          </w:p>
        </w:tc>
        <w:tc>
          <w:tcPr>
            <w:tcW w:w="1071" w:type="dxa"/>
            <w:vMerge w:val="restart"/>
            <w:tcBorders>
              <w:top w:val="single" w:sz="4" w:space="0" w:color="000000"/>
              <w:left w:val="single" w:sz="4" w:space="0" w:color="000000"/>
              <w:right w:val="single" w:sz="4" w:space="0" w:color="000000"/>
            </w:tcBorders>
            <w:shd w:val="clear" w:color="auto" w:fill="auto"/>
            <w:vAlign w:val="center"/>
          </w:tcPr>
          <w:p w14:paraId="2B7E9610" w14:textId="0952CBA6" w:rsidR="007947BC" w:rsidRPr="007947BC" w:rsidRDefault="007947BC" w:rsidP="007947BC">
            <w:pPr>
              <w:spacing w:line="300" w:lineRule="exact"/>
              <w:jc w:val="center"/>
              <w:rPr>
                <w:rFonts w:ascii="宋体" w:hAnsi="宋体" w:cs="宋体"/>
                <w:bCs/>
                <w:sz w:val="18"/>
                <w:szCs w:val="18"/>
              </w:rPr>
            </w:pPr>
            <w:r w:rsidRPr="00384B7A">
              <w:rPr>
                <w:rFonts w:ascii="宋体" w:hAnsi="宋体" w:cs="宋体" w:hint="eastAsia"/>
                <w:bCs/>
                <w:sz w:val="18"/>
                <w:szCs w:val="18"/>
              </w:rPr>
              <w:t>售后服务</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60DC584D" w:rsidR="007947BC" w:rsidRDefault="007947BC" w:rsidP="00A25994">
            <w:pPr>
              <w:widowControl/>
              <w:spacing w:line="240" w:lineRule="exact"/>
              <w:textAlignment w:val="center"/>
              <w:rPr>
                <w:rFonts w:ascii="宋体" w:hAnsi="宋体" w:cs="宋体"/>
                <w:color w:val="000000"/>
                <w:sz w:val="18"/>
                <w:szCs w:val="18"/>
              </w:rPr>
            </w:pPr>
            <w:r w:rsidRPr="00B65EAB">
              <w:rPr>
                <w:rFonts w:ascii="宋体" w:hAnsi="宋体" w:cs="宋体" w:hint="eastAsia"/>
                <w:bCs/>
                <w:sz w:val="18"/>
                <w:szCs w:val="18"/>
              </w:rPr>
              <w:t>普通时期到货时间：2天到货（5分）；3到5天到货（3分）；6天以上到货（1分）。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432C3A06" w:rsidR="007947BC" w:rsidRDefault="007947BC">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02B13740" w14:textId="77777777" w:rsidTr="007947BC">
        <w:trPr>
          <w:trHeight w:val="560"/>
          <w:jc w:val="center"/>
        </w:trPr>
        <w:tc>
          <w:tcPr>
            <w:tcW w:w="730" w:type="dxa"/>
            <w:vMerge/>
            <w:tcBorders>
              <w:left w:val="single" w:sz="4" w:space="0" w:color="000000"/>
              <w:right w:val="single" w:sz="4" w:space="0" w:color="000000"/>
            </w:tcBorders>
            <w:shd w:val="clear" w:color="auto" w:fill="auto"/>
            <w:vAlign w:val="center"/>
          </w:tcPr>
          <w:p w14:paraId="47EBC336" w14:textId="77777777" w:rsidR="007947BC" w:rsidRDefault="007947BC">
            <w:pPr>
              <w:widowControl/>
              <w:spacing w:line="240" w:lineRule="exact"/>
              <w:rPr>
                <w:rFonts w:ascii="宋体" w:hAnsi="宋体" w:cs="宋体"/>
                <w:color w:val="000000"/>
                <w:sz w:val="18"/>
                <w:szCs w:val="18"/>
              </w:rPr>
            </w:pPr>
          </w:p>
        </w:tc>
        <w:tc>
          <w:tcPr>
            <w:tcW w:w="1071" w:type="dxa"/>
            <w:vMerge/>
            <w:tcBorders>
              <w:left w:val="single" w:sz="4" w:space="0" w:color="000000"/>
              <w:right w:val="single" w:sz="4" w:space="0" w:color="000000"/>
            </w:tcBorders>
            <w:shd w:val="clear" w:color="auto" w:fill="auto"/>
            <w:vAlign w:val="center"/>
          </w:tcPr>
          <w:p w14:paraId="44EFC4BF" w14:textId="4D5F8B27" w:rsidR="007947BC" w:rsidRDefault="007947BC" w:rsidP="00A25994">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005249C1" w:rsidR="007947BC" w:rsidRDefault="007947BC" w:rsidP="00A25994">
            <w:pPr>
              <w:widowControl/>
              <w:spacing w:line="240" w:lineRule="exact"/>
              <w:textAlignment w:val="center"/>
              <w:rPr>
                <w:rFonts w:ascii="宋体" w:hAnsi="宋体" w:cs="宋体"/>
                <w:color w:val="000000"/>
                <w:sz w:val="18"/>
                <w:szCs w:val="18"/>
              </w:rPr>
            </w:pPr>
            <w:r w:rsidRPr="00B65EAB">
              <w:rPr>
                <w:rFonts w:ascii="宋体" w:hAnsi="宋体" w:cs="宋体" w:hint="eastAsia"/>
                <w:bCs/>
                <w:sz w:val="18"/>
                <w:szCs w:val="18"/>
              </w:rPr>
              <w:t>售后服务承诺：24小时响应到场（2.5分），1周内响应到场（2.5分），超过1周响应到场（0.5分）。</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24D2B316" w:rsidR="007947BC" w:rsidRDefault="007947BC" w:rsidP="007947BC">
            <w:pPr>
              <w:widowControl/>
              <w:spacing w:line="240" w:lineRule="exact"/>
              <w:jc w:val="center"/>
              <w:textAlignment w:val="center"/>
              <w:rPr>
                <w:rFonts w:ascii="宋体" w:hAnsi="宋体" w:cs="宋体"/>
                <w:color w:val="000000"/>
                <w:sz w:val="18"/>
                <w:szCs w:val="18"/>
              </w:rPr>
            </w:pPr>
            <w:r>
              <w:rPr>
                <w:rFonts w:ascii="宋体" w:hAnsi="宋体" w:cs="宋体" w:hint="eastAsia"/>
                <w:bCs/>
                <w:sz w:val="18"/>
                <w:szCs w:val="18"/>
              </w:rPr>
              <w:t>2.5</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301DDF03" w14:textId="77777777" w:rsidTr="007947BC">
        <w:trPr>
          <w:trHeight w:val="600"/>
          <w:jc w:val="center"/>
        </w:trPr>
        <w:tc>
          <w:tcPr>
            <w:tcW w:w="730" w:type="dxa"/>
            <w:vMerge/>
            <w:tcBorders>
              <w:left w:val="single" w:sz="4" w:space="0" w:color="000000"/>
              <w:right w:val="single" w:sz="4" w:space="0" w:color="000000"/>
            </w:tcBorders>
            <w:shd w:val="clear" w:color="auto" w:fill="auto"/>
            <w:vAlign w:val="center"/>
          </w:tcPr>
          <w:p w14:paraId="640B326E" w14:textId="77777777" w:rsidR="007947BC" w:rsidRDefault="007947BC">
            <w:pPr>
              <w:widowControl/>
              <w:spacing w:line="240" w:lineRule="exact"/>
              <w:rPr>
                <w:rFonts w:ascii="宋体" w:hAnsi="宋体" w:cs="宋体"/>
                <w:color w:val="000000"/>
                <w:sz w:val="18"/>
                <w:szCs w:val="18"/>
              </w:rPr>
            </w:pPr>
          </w:p>
        </w:tc>
        <w:tc>
          <w:tcPr>
            <w:tcW w:w="1071" w:type="dxa"/>
            <w:vMerge/>
            <w:tcBorders>
              <w:left w:val="single" w:sz="4" w:space="0" w:color="000000"/>
              <w:bottom w:val="single" w:sz="4" w:space="0" w:color="000000"/>
              <w:right w:val="single" w:sz="4" w:space="0" w:color="000000"/>
            </w:tcBorders>
            <w:shd w:val="clear" w:color="auto" w:fill="auto"/>
            <w:vAlign w:val="center"/>
          </w:tcPr>
          <w:p w14:paraId="1C2F2EE1" w14:textId="656A2E02" w:rsidR="007947BC" w:rsidRDefault="007947BC" w:rsidP="00A25994">
            <w:pPr>
              <w:widowControl/>
              <w:spacing w:line="240" w:lineRule="exact"/>
              <w:textAlignment w:val="center"/>
              <w:rPr>
                <w:rFonts w:ascii="宋体" w:hAnsi="宋体" w:cs="宋体"/>
                <w:color w:val="000000"/>
                <w:sz w:val="18"/>
                <w:szCs w:val="18"/>
              </w:rPr>
            </w:pP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4B6CB6B2" w:rsidR="007947BC" w:rsidRDefault="007947BC" w:rsidP="00A25994">
            <w:pPr>
              <w:widowControl/>
              <w:spacing w:line="240" w:lineRule="exact"/>
              <w:textAlignment w:val="center"/>
              <w:rPr>
                <w:rFonts w:ascii="宋体" w:hAnsi="宋体" w:cs="宋体"/>
                <w:color w:val="000000"/>
                <w:sz w:val="18"/>
                <w:szCs w:val="18"/>
              </w:rPr>
            </w:pPr>
            <w:r w:rsidRPr="00B65EAB">
              <w:rPr>
                <w:rFonts w:ascii="宋体" w:hAnsi="宋体" w:cs="宋体" w:hint="eastAsia"/>
                <w:bCs/>
                <w:sz w:val="18"/>
                <w:szCs w:val="18"/>
              </w:rPr>
              <w:t>承诺紧急防控时期保证按合同供货。</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1C0A2FAD" w:rsidR="007947BC" w:rsidRDefault="007947BC">
            <w:pPr>
              <w:widowControl/>
              <w:spacing w:line="240" w:lineRule="exact"/>
              <w:jc w:val="center"/>
              <w:textAlignment w:val="center"/>
              <w:rPr>
                <w:rFonts w:ascii="宋体" w:hAnsi="宋体" w:cs="宋体"/>
                <w:color w:val="000000"/>
                <w:sz w:val="18"/>
                <w:szCs w:val="18"/>
              </w:rPr>
            </w:pPr>
            <w:r w:rsidRPr="00FE3B5D">
              <w:rPr>
                <w:rFonts w:ascii="宋体" w:hAnsi="宋体" w:cs="宋体" w:hint="eastAsia"/>
                <w:bCs/>
                <w:sz w:val="18"/>
                <w:szCs w:val="18"/>
              </w:rPr>
              <w:t>承诺即得2.5分</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653A9CB3" w14:textId="77777777" w:rsidTr="00162E1F">
        <w:trPr>
          <w:trHeight w:val="560"/>
          <w:jc w:val="center"/>
        </w:trPr>
        <w:tc>
          <w:tcPr>
            <w:tcW w:w="730" w:type="dxa"/>
            <w:vMerge/>
            <w:tcBorders>
              <w:left w:val="single" w:sz="4" w:space="0" w:color="000000"/>
              <w:bottom w:val="single" w:sz="4" w:space="0" w:color="000000"/>
              <w:right w:val="single" w:sz="4" w:space="0" w:color="000000"/>
            </w:tcBorders>
            <w:shd w:val="clear" w:color="auto" w:fill="auto"/>
            <w:vAlign w:val="center"/>
          </w:tcPr>
          <w:p w14:paraId="090FB954" w14:textId="21409EA8" w:rsidR="007947BC" w:rsidRDefault="007947BC">
            <w:pPr>
              <w:widowControl/>
              <w:spacing w:line="240" w:lineRule="exact"/>
              <w:jc w:val="center"/>
              <w:textAlignment w:val="center"/>
              <w:rPr>
                <w:rFonts w:ascii="宋体" w:hAnsi="宋体" w:cs="宋体"/>
                <w:color w:val="000000"/>
                <w:sz w:val="18"/>
                <w:szCs w:val="1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BAB0" w14:textId="6B8C4A80" w:rsidR="007947BC" w:rsidRDefault="00162E1F" w:rsidP="00162E1F">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耗材</w:t>
            </w:r>
            <w:r w:rsidR="007947BC">
              <w:rPr>
                <w:rFonts w:ascii="宋体" w:hAnsi="宋体" w:cs="宋体" w:hint="eastAsia"/>
                <w:color w:val="000000"/>
                <w:kern w:val="0"/>
                <w:sz w:val="18"/>
                <w:szCs w:val="18"/>
                <w:lang w:bidi="ar"/>
              </w:rPr>
              <w:t>价格评分</w:t>
            </w:r>
          </w:p>
        </w:tc>
        <w:tc>
          <w:tcPr>
            <w:tcW w:w="48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A689E" w14:textId="590A43FF" w:rsidR="007947BC" w:rsidRDefault="007947BC" w:rsidP="00162E1F">
            <w:pPr>
              <w:widowControl/>
              <w:spacing w:line="240" w:lineRule="exact"/>
              <w:ind w:left="90" w:hangingChars="50" w:hanging="90"/>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价格得分=（最低投标价/被评分供应商投标价）×</w:t>
            </w:r>
            <w:r w:rsidR="00162E1F">
              <w:rPr>
                <w:rFonts w:ascii="宋体" w:hAnsi="宋体" w:cs="宋体" w:hint="eastAsia"/>
                <w:color w:val="000000"/>
                <w:kern w:val="0"/>
                <w:sz w:val="18"/>
                <w:szCs w:val="18"/>
                <w:lang w:bidi="ar"/>
              </w:rPr>
              <w:t xml:space="preserve">50     </w:t>
            </w: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24725248" w:rsidR="007947BC" w:rsidRDefault="007947BC">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7947BC" w:rsidRDefault="007947BC">
            <w:pPr>
              <w:widowControl/>
              <w:spacing w:line="240" w:lineRule="exact"/>
              <w:jc w:val="center"/>
              <w:textAlignment w:val="center"/>
              <w:rPr>
                <w:rFonts w:ascii="宋体" w:hAnsi="宋体" w:cs="宋体"/>
                <w:color w:val="000000"/>
                <w:sz w:val="22"/>
                <w:szCs w:val="22"/>
              </w:rPr>
            </w:pPr>
          </w:p>
        </w:tc>
      </w:tr>
      <w:tr w:rsidR="007947BC" w14:paraId="5B866846" w14:textId="77777777" w:rsidTr="007947BC">
        <w:trPr>
          <w:trHeight w:val="480"/>
          <w:jc w:val="center"/>
        </w:trPr>
        <w:tc>
          <w:tcPr>
            <w:tcW w:w="75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7947BC" w:rsidRDefault="007947BC">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7947BC" w:rsidRDefault="007947BC">
            <w:pPr>
              <w:widowControl/>
              <w:spacing w:line="240" w:lineRule="exact"/>
              <w:jc w:val="center"/>
              <w:textAlignment w:val="center"/>
              <w:rPr>
                <w:rFonts w:ascii="宋体" w:hAnsi="宋体" w:cs="宋体"/>
                <w:color w:val="000000"/>
                <w:sz w:val="22"/>
                <w:szCs w:val="22"/>
              </w:rPr>
            </w:pPr>
          </w:p>
        </w:tc>
        <w:tc>
          <w:tcPr>
            <w:tcW w:w="10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7947BC" w:rsidRDefault="007947BC">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F0CED" w14:textId="77777777" w:rsidR="00574127" w:rsidRDefault="00574127">
      <w:r>
        <w:separator/>
      </w:r>
    </w:p>
  </w:endnote>
  <w:endnote w:type="continuationSeparator" w:id="0">
    <w:p w14:paraId="75E72D90" w14:textId="77777777" w:rsidR="00574127" w:rsidRDefault="0057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6B975" w14:textId="77777777" w:rsidR="00574127" w:rsidRDefault="00574127">
      <w:r>
        <w:separator/>
      </w:r>
    </w:p>
  </w:footnote>
  <w:footnote w:type="continuationSeparator" w:id="0">
    <w:p w14:paraId="108AC8EE" w14:textId="77777777" w:rsidR="00574127" w:rsidRDefault="0057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62E1F"/>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66ADB"/>
    <w:rsid w:val="0057136E"/>
    <w:rsid w:val="00574127"/>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7947BC"/>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2F3D"/>
    <w:rsid w:val="00AC36FB"/>
    <w:rsid w:val="00B32D8A"/>
    <w:rsid w:val="00B66EE8"/>
    <w:rsid w:val="00B74781"/>
    <w:rsid w:val="00BA2983"/>
    <w:rsid w:val="00BA6686"/>
    <w:rsid w:val="00BD4CE1"/>
    <w:rsid w:val="00BD7455"/>
    <w:rsid w:val="00C0765C"/>
    <w:rsid w:val="00C4061F"/>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Company>Microsoft</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