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BFCF0">
      <w:pPr>
        <w:spacing w:line="360" w:lineRule="auto"/>
        <w:jc w:val="center"/>
      </w:pPr>
      <w:r>
        <w:rPr>
          <w:b/>
          <w:sz w:val="36"/>
        </w:rPr>
        <w:t>采购需求</w:t>
      </w:r>
    </w:p>
    <w:p w14:paraId="32617987">
      <w:pPr>
        <w:spacing w:line="360" w:lineRule="auto"/>
        <w:rPr>
          <w:b/>
          <w:sz w:val="28"/>
        </w:rPr>
      </w:pPr>
      <w:r>
        <w:rPr>
          <w:b/>
          <w:sz w:val="28"/>
        </w:rPr>
        <w:t>一、项目概况：</w:t>
      </w:r>
    </w:p>
    <w:p w14:paraId="797B6CF5">
      <w:pPr>
        <w:spacing w:line="360" w:lineRule="auto"/>
        <w:ind w:firstLine="420"/>
      </w:pPr>
      <w:r>
        <w:rPr>
          <w:rFonts w:hint="eastAsia"/>
        </w:rPr>
        <w:t>本次采购内容为江门市妇幼保健院</w:t>
      </w:r>
      <w:r>
        <w:rPr>
          <w:rFonts w:hint="eastAsia"/>
          <w:b/>
        </w:rPr>
        <w:t>医疗设备项目（编号YL2516）院内采购项目</w:t>
      </w:r>
      <w:r>
        <w:rPr>
          <w:rFonts w:hint="eastAsia"/>
        </w:rPr>
        <w:t>（具体详见技术要求）。</w:t>
      </w:r>
    </w:p>
    <w:p w14:paraId="148BCBF6">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03542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3FF23591">
            <w:pPr>
              <w:spacing w:line="360" w:lineRule="auto"/>
              <w:jc w:val="center"/>
            </w:pPr>
            <w:r>
              <w:rPr>
                <w:rFonts w:hint="eastAsia"/>
              </w:rPr>
              <w:t>项目编号</w:t>
            </w:r>
          </w:p>
        </w:tc>
        <w:tc>
          <w:tcPr>
            <w:tcW w:w="1701" w:type="dxa"/>
            <w:vAlign w:val="center"/>
          </w:tcPr>
          <w:p w14:paraId="7F902591">
            <w:pPr>
              <w:spacing w:line="360" w:lineRule="auto"/>
              <w:jc w:val="center"/>
            </w:pPr>
            <w:r>
              <w:rPr>
                <w:rFonts w:hint="eastAsia"/>
              </w:rPr>
              <w:t>项目</w:t>
            </w:r>
            <w:r>
              <w:t>名称</w:t>
            </w:r>
          </w:p>
        </w:tc>
        <w:tc>
          <w:tcPr>
            <w:tcW w:w="1077" w:type="dxa"/>
            <w:vAlign w:val="center"/>
          </w:tcPr>
          <w:p w14:paraId="052272D8">
            <w:pPr>
              <w:spacing w:line="360" w:lineRule="auto"/>
              <w:jc w:val="center"/>
            </w:pPr>
            <w:r>
              <w:t>单位</w:t>
            </w:r>
          </w:p>
        </w:tc>
        <w:tc>
          <w:tcPr>
            <w:tcW w:w="1077" w:type="dxa"/>
            <w:vAlign w:val="center"/>
          </w:tcPr>
          <w:p w14:paraId="459C1424">
            <w:pPr>
              <w:spacing w:line="360" w:lineRule="auto"/>
              <w:jc w:val="center"/>
            </w:pPr>
            <w:r>
              <w:t>数量</w:t>
            </w:r>
          </w:p>
        </w:tc>
        <w:tc>
          <w:tcPr>
            <w:tcW w:w="1077" w:type="dxa"/>
            <w:vAlign w:val="center"/>
          </w:tcPr>
          <w:p w14:paraId="3CD0131E">
            <w:pPr>
              <w:spacing w:line="360" w:lineRule="auto"/>
              <w:jc w:val="center"/>
            </w:pPr>
            <w:r>
              <w:t>预算单价（</w:t>
            </w:r>
            <w:r>
              <w:rPr>
                <w:rFonts w:hint="eastAsia"/>
              </w:rPr>
              <w:t>万</w:t>
            </w:r>
            <w:r>
              <w:t>元）</w:t>
            </w:r>
          </w:p>
        </w:tc>
        <w:tc>
          <w:tcPr>
            <w:tcW w:w="1077" w:type="dxa"/>
            <w:vAlign w:val="center"/>
          </w:tcPr>
          <w:p w14:paraId="3F6F94BA">
            <w:pPr>
              <w:spacing w:line="360" w:lineRule="auto"/>
              <w:jc w:val="center"/>
            </w:pPr>
            <w:r>
              <w:t>预算总价（</w:t>
            </w:r>
            <w:r>
              <w:rPr>
                <w:rFonts w:hint="eastAsia"/>
              </w:rPr>
              <w:t>万</w:t>
            </w:r>
            <w:r>
              <w:t>元）</w:t>
            </w:r>
          </w:p>
        </w:tc>
        <w:tc>
          <w:tcPr>
            <w:tcW w:w="1134" w:type="dxa"/>
            <w:vAlign w:val="center"/>
          </w:tcPr>
          <w:p w14:paraId="67885A95">
            <w:pPr>
              <w:spacing w:line="360" w:lineRule="auto"/>
              <w:jc w:val="center"/>
              <w:rPr>
                <w:b/>
              </w:rPr>
            </w:pPr>
            <w:r>
              <w:rPr>
                <w:b/>
              </w:rPr>
              <w:t>技术要求</w:t>
            </w:r>
          </w:p>
        </w:tc>
      </w:tr>
      <w:tr w14:paraId="5E8FB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30615C3">
            <w:pPr>
              <w:jc w:val="center"/>
              <w:rPr>
                <w:rFonts w:hint="default" w:eastAsiaTheme="minorEastAsia"/>
                <w:lang w:val="en-US" w:eastAsia="zh-CN"/>
              </w:rPr>
            </w:pPr>
            <w:bookmarkStart w:id="0" w:name="_GoBack" w:colFirst="0" w:colLast="6"/>
            <w:r>
              <w:rPr>
                <w:rFonts w:hint="eastAsia"/>
              </w:rPr>
              <w:t>YL25</w:t>
            </w:r>
            <w:r>
              <w:rPr>
                <w:rFonts w:hint="eastAsia"/>
                <w:lang w:val="en-US" w:eastAsia="zh-CN"/>
              </w:rPr>
              <w:t>24</w:t>
            </w:r>
          </w:p>
        </w:tc>
        <w:tc>
          <w:tcPr>
            <w:tcW w:w="1701" w:type="dxa"/>
            <w:vAlign w:val="center"/>
          </w:tcPr>
          <w:p w14:paraId="1198CE89">
            <w:pPr>
              <w:jc w:val="center"/>
            </w:pPr>
            <w:r>
              <w:rPr>
                <w:rFonts w:hint="eastAsia"/>
              </w:rPr>
              <w:t>全自动血液体液分析</w:t>
            </w:r>
          </w:p>
        </w:tc>
        <w:tc>
          <w:tcPr>
            <w:tcW w:w="1077" w:type="dxa"/>
            <w:vAlign w:val="center"/>
          </w:tcPr>
          <w:p w14:paraId="3EEF09C5">
            <w:pPr>
              <w:jc w:val="center"/>
            </w:pPr>
            <w:r>
              <w:rPr>
                <w:rFonts w:hint="eastAsia"/>
              </w:rPr>
              <w:t>台</w:t>
            </w:r>
          </w:p>
        </w:tc>
        <w:tc>
          <w:tcPr>
            <w:tcW w:w="1077" w:type="dxa"/>
            <w:vAlign w:val="center"/>
          </w:tcPr>
          <w:p w14:paraId="4CD27931">
            <w:pPr>
              <w:jc w:val="center"/>
            </w:pPr>
            <w:r>
              <w:rPr>
                <w:rFonts w:hint="eastAsia"/>
              </w:rPr>
              <w:t>1</w:t>
            </w:r>
          </w:p>
        </w:tc>
        <w:tc>
          <w:tcPr>
            <w:tcW w:w="1077" w:type="dxa"/>
            <w:vAlign w:val="center"/>
          </w:tcPr>
          <w:p w14:paraId="165BF8A2">
            <w:pPr>
              <w:jc w:val="center"/>
            </w:pPr>
            <w:r>
              <w:rPr>
                <w:rFonts w:hint="eastAsia"/>
              </w:rPr>
              <w:t>19</w:t>
            </w:r>
          </w:p>
        </w:tc>
        <w:tc>
          <w:tcPr>
            <w:tcW w:w="1077" w:type="dxa"/>
            <w:vAlign w:val="center"/>
          </w:tcPr>
          <w:p w14:paraId="7F3DD9E6">
            <w:pPr>
              <w:jc w:val="center"/>
            </w:pPr>
            <w:r>
              <w:rPr>
                <w:rFonts w:hint="eastAsia"/>
              </w:rPr>
              <w:t>19</w:t>
            </w:r>
          </w:p>
        </w:tc>
        <w:tc>
          <w:tcPr>
            <w:tcW w:w="1134" w:type="dxa"/>
            <w:vAlign w:val="center"/>
          </w:tcPr>
          <w:p w14:paraId="5E460090">
            <w:pPr>
              <w:jc w:val="center"/>
            </w:pPr>
            <w:r>
              <w:rPr>
                <w:rFonts w:hint="eastAsia"/>
              </w:rPr>
              <w:t>详见附表一</w:t>
            </w:r>
          </w:p>
        </w:tc>
      </w:tr>
      <w:bookmarkEnd w:id="0"/>
    </w:tbl>
    <w:p w14:paraId="26D36284">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74D16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4A3287AF">
            <w:r>
              <w:t>参数性质</w:t>
            </w:r>
          </w:p>
        </w:tc>
        <w:tc>
          <w:tcPr>
            <w:tcW w:w="486" w:type="dxa"/>
          </w:tcPr>
          <w:p w14:paraId="65A14EC8">
            <w:r>
              <w:t>序号</w:t>
            </w:r>
          </w:p>
        </w:tc>
        <w:tc>
          <w:tcPr>
            <w:tcW w:w="7500" w:type="dxa"/>
            <w:vAlign w:val="center"/>
          </w:tcPr>
          <w:p w14:paraId="5F320184">
            <w:pPr>
              <w:jc w:val="center"/>
            </w:pPr>
            <w:r>
              <w:t>具体技术(参数)要求</w:t>
            </w:r>
          </w:p>
        </w:tc>
      </w:tr>
      <w:tr w14:paraId="44FA4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2FEE0A13"/>
        </w:tc>
        <w:tc>
          <w:tcPr>
            <w:tcW w:w="486" w:type="dxa"/>
          </w:tcPr>
          <w:p w14:paraId="1F8033D9">
            <w:r>
              <w:rPr>
                <w:rFonts w:hint="eastAsia"/>
              </w:rPr>
              <w:t>1</w:t>
            </w:r>
          </w:p>
        </w:tc>
        <w:tc>
          <w:tcPr>
            <w:tcW w:w="7500" w:type="dxa"/>
          </w:tcPr>
          <w:tbl>
            <w:tblPr>
              <w:tblStyle w:val="9"/>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794"/>
              <w:gridCol w:w="2211"/>
              <w:gridCol w:w="4309"/>
            </w:tblGrid>
            <w:tr w14:paraId="7127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 w:type="dxa"/>
                  <w:shd w:val="clear" w:color="auto" w:fill="FDE9D9" w:themeFill="accent6" w:themeFillTint="33"/>
                  <w:vAlign w:val="center"/>
                </w:tcPr>
                <w:p w14:paraId="209FD8CB">
                  <w:pPr>
                    <w:spacing w:line="360" w:lineRule="auto"/>
                    <w:jc w:val="center"/>
                    <w:rPr>
                      <w:rFonts w:eastAsia="宋体" w:cs="Times New Roman" w:asciiTheme="minorEastAsia" w:hAnsiTheme="minorEastAsia"/>
                      <w:b/>
                      <w:kern w:val="0"/>
                      <w:sz w:val="22"/>
                      <w:szCs w:val="22"/>
                    </w:rPr>
                  </w:pPr>
                  <w:r>
                    <w:rPr>
                      <w:rFonts w:eastAsia="宋体" w:cs="Times New Roman" w:asciiTheme="minorEastAsia" w:hAnsiTheme="minorEastAsia"/>
                      <w:b/>
                      <w:kern w:val="0"/>
                      <w:sz w:val="22"/>
                      <w:szCs w:val="22"/>
                    </w:rPr>
                    <w:t>序号</w:t>
                  </w:r>
                </w:p>
              </w:tc>
              <w:tc>
                <w:tcPr>
                  <w:tcW w:w="2211" w:type="dxa"/>
                  <w:shd w:val="clear" w:color="auto" w:fill="FDE9D9" w:themeFill="accent6" w:themeFillTint="33"/>
                  <w:vAlign w:val="center"/>
                </w:tcPr>
                <w:p w14:paraId="2AC4FDE9">
                  <w:pPr>
                    <w:spacing w:line="360" w:lineRule="auto"/>
                    <w:jc w:val="center"/>
                    <w:rPr>
                      <w:rFonts w:eastAsia="宋体" w:cs="Times New Roman" w:asciiTheme="minorEastAsia" w:hAnsiTheme="minorEastAsia"/>
                      <w:b/>
                      <w:kern w:val="0"/>
                      <w:sz w:val="22"/>
                      <w:szCs w:val="22"/>
                    </w:rPr>
                  </w:pPr>
                  <w:r>
                    <w:rPr>
                      <w:rFonts w:hint="eastAsia" w:eastAsia="宋体" w:cs="Times New Roman" w:asciiTheme="minorEastAsia" w:hAnsiTheme="minorEastAsia"/>
                      <w:b/>
                      <w:kern w:val="0"/>
                      <w:sz w:val="22"/>
                      <w:szCs w:val="22"/>
                    </w:rPr>
                    <w:t>技术和性能参数名称</w:t>
                  </w:r>
                </w:p>
              </w:tc>
              <w:tc>
                <w:tcPr>
                  <w:tcW w:w="4309" w:type="dxa"/>
                  <w:shd w:val="clear" w:color="auto" w:fill="FDE9D9" w:themeFill="accent6" w:themeFillTint="33"/>
                  <w:vAlign w:val="center"/>
                </w:tcPr>
                <w:p w14:paraId="05CC26CD">
                  <w:pPr>
                    <w:spacing w:line="240" w:lineRule="atLeast"/>
                    <w:jc w:val="center"/>
                    <w:rPr>
                      <w:rFonts w:eastAsia="宋体" w:cs="Times New Roman" w:asciiTheme="minorEastAsia" w:hAnsiTheme="minorEastAsia"/>
                      <w:b/>
                      <w:kern w:val="0"/>
                      <w:sz w:val="22"/>
                      <w:szCs w:val="22"/>
                    </w:rPr>
                  </w:pPr>
                  <w:r>
                    <w:rPr>
                      <w:rFonts w:eastAsia="宋体" w:cs="Times New Roman" w:asciiTheme="minorEastAsia" w:hAnsiTheme="minorEastAsia"/>
                      <w:b/>
                      <w:kern w:val="0"/>
                      <w:sz w:val="22"/>
                      <w:szCs w:val="22"/>
                    </w:rPr>
                    <w:t>参数</w:t>
                  </w:r>
                  <w:r>
                    <w:rPr>
                      <w:rFonts w:hint="eastAsia" w:eastAsia="宋体" w:cs="Times New Roman" w:asciiTheme="minorEastAsia" w:hAnsiTheme="minorEastAsia"/>
                      <w:b/>
                      <w:kern w:val="0"/>
                      <w:sz w:val="22"/>
                      <w:szCs w:val="22"/>
                    </w:rPr>
                    <w:t>要求</w:t>
                  </w:r>
                </w:p>
              </w:tc>
            </w:tr>
            <w:tr w14:paraId="2CA1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077288EA">
                  <w:pPr>
                    <w:jc w:val="center"/>
                    <w:rPr>
                      <w:rFonts w:eastAsia="宋体" w:cs="宋体" w:asciiTheme="minorEastAsia" w:hAnsiTheme="minorEastAsia"/>
                      <w:sz w:val="24"/>
                    </w:rPr>
                  </w:pPr>
                  <w:r>
                    <w:rPr>
                      <w:rFonts w:hint="eastAsia" w:eastAsia="宋体" w:cs="宋体" w:asciiTheme="minorEastAsia" w:hAnsiTheme="minorEastAsia"/>
                      <w:sz w:val="24"/>
                    </w:rPr>
                    <w:t>★</w:t>
                  </w:r>
                  <w:r>
                    <w:rPr>
                      <w:rFonts w:hint="eastAsia" w:eastAsia="宋体" w:cs="宋体" w:asciiTheme="minorEastAsia" w:hAnsiTheme="minorEastAsia"/>
                      <w:b/>
                      <w:kern w:val="0"/>
                      <w:sz w:val="24"/>
                    </w:rPr>
                    <w:t>1</w:t>
                  </w:r>
                </w:p>
              </w:tc>
              <w:tc>
                <w:tcPr>
                  <w:tcW w:w="2211" w:type="dxa"/>
                  <w:shd w:val="clear" w:color="auto" w:fill="FDE9D9" w:themeFill="accent6" w:themeFillTint="33"/>
                  <w:vAlign w:val="center"/>
                </w:tcPr>
                <w:p w14:paraId="667127CA">
                  <w:pPr>
                    <w:spacing w:line="360" w:lineRule="auto"/>
                    <w:jc w:val="center"/>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全自动血液分析流水线基本功能及要求</w:t>
                  </w:r>
                </w:p>
              </w:tc>
              <w:tc>
                <w:tcPr>
                  <w:tcW w:w="4309" w:type="dxa"/>
                  <w:shd w:val="clear" w:color="auto" w:fill="FDE9D9" w:themeFill="accent6" w:themeFillTint="33"/>
                  <w:vAlign w:val="center"/>
                </w:tcPr>
                <w:p w14:paraId="10C87EDA">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1.1 全自动血液分析流水线由全自动血液体液细胞分析仪（五台同型号）、推片染色机一台和全自动细胞形态学分析仪通过轨道连接组成。最终具体的连接组合根据科室自身条件去做决定。</w:t>
                  </w:r>
                </w:p>
                <w:p w14:paraId="0F986409">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1.2 具备末梢血全自动检测，支持静脉全血和末梢血样本同时批量上机检测，均支持样本自动混匀。</w:t>
                  </w:r>
                </w:p>
                <w:p w14:paraId="2D845991">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1.3 每台血球仪需具备急诊检测功能，支持静脉血、末梢血、预稀释模式及低值白细胞模式等。</w:t>
                  </w:r>
                </w:p>
                <w:p w14:paraId="30DA4830">
                  <w:pPr>
                    <w:spacing w:line="240" w:lineRule="atLeast"/>
                    <w:rPr>
                      <w:rFonts w:hint="eastAsia" w:eastAsia="宋体" w:cs="Times New Roman" w:asciiTheme="minorEastAsia" w:hAnsiTheme="minorEastAsia"/>
                      <w:b/>
                      <w:kern w:val="0"/>
                      <w:sz w:val="22"/>
                      <w:szCs w:val="22"/>
                    </w:rPr>
                  </w:pPr>
                  <w:r>
                    <w:rPr>
                      <w:rFonts w:hint="eastAsia" w:eastAsia="宋体" w:cs="Times New Roman" w:asciiTheme="minorEastAsia" w:hAnsiTheme="minorEastAsia"/>
                      <w:kern w:val="0"/>
                      <w:sz w:val="22"/>
                      <w:szCs w:val="22"/>
                    </w:rPr>
                    <w:t xml:space="preserve">1.4 </w:t>
                  </w:r>
                  <w:r>
                    <w:rPr>
                      <w:rFonts w:hint="eastAsia" w:eastAsia="宋体" w:cs="Times New Roman" w:asciiTheme="minorEastAsia" w:hAnsiTheme="minorEastAsia"/>
                      <w:b/>
                      <w:kern w:val="0"/>
                      <w:sz w:val="22"/>
                      <w:szCs w:val="22"/>
                    </w:rPr>
                    <w:t>终身免费维修保养，免费维修配件、易损件、易耗品，如穿刺针等</w:t>
                  </w:r>
                </w:p>
                <w:p w14:paraId="0620BEE2">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sz w:val="24"/>
                    </w:rPr>
                    <w:t>1.5</w:t>
                  </w:r>
                  <w:r>
                    <w:rPr>
                      <w:rFonts w:hint="eastAsia" w:eastAsia="宋体" w:cs="Times New Roman" w:asciiTheme="minorEastAsia" w:hAnsiTheme="minorEastAsia"/>
                      <w:b/>
                      <w:sz w:val="24"/>
                    </w:rPr>
                    <w:t>承诺与医院信息系统对接，并承诺免费承担与临床信息系统接口费用。</w:t>
                  </w:r>
                </w:p>
              </w:tc>
            </w:tr>
            <w:tr w14:paraId="3C03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7B613E80">
                  <w:pPr>
                    <w:jc w:val="center"/>
                    <w:rPr>
                      <w:rFonts w:eastAsia="宋体" w:cs="宋体" w:asciiTheme="minorEastAsia" w:hAnsiTheme="minorEastAsia"/>
                      <w:b/>
                      <w:kern w:val="0"/>
                      <w:sz w:val="24"/>
                    </w:rPr>
                  </w:pPr>
                  <w:r>
                    <w:rPr>
                      <w:rFonts w:hint="eastAsia" w:eastAsia="宋体" w:cs="Times New Roman" w:asciiTheme="minorEastAsia" w:hAnsiTheme="minorEastAsia"/>
                      <w:b/>
                      <w:kern w:val="0"/>
                      <w:sz w:val="24"/>
                    </w:rPr>
                    <w:t>▲</w:t>
                  </w:r>
                  <w:r>
                    <w:rPr>
                      <w:rFonts w:hint="eastAsia" w:eastAsia="宋体" w:cs="宋体" w:asciiTheme="minorEastAsia" w:hAnsiTheme="minorEastAsia"/>
                      <w:b/>
                      <w:kern w:val="0"/>
                      <w:sz w:val="24"/>
                    </w:rPr>
                    <w:t>2</w:t>
                  </w:r>
                </w:p>
              </w:tc>
              <w:tc>
                <w:tcPr>
                  <w:tcW w:w="2211" w:type="dxa"/>
                  <w:shd w:val="clear" w:color="auto" w:fill="FDE9D9" w:themeFill="accent6" w:themeFillTint="33"/>
                  <w:vAlign w:val="center"/>
                </w:tcPr>
                <w:p w14:paraId="30C20C72">
                  <w:pPr>
                    <w:spacing w:line="360" w:lineRule="auto"/>
                    <w:jc w:val="center"/>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全自动血液体液细胞分析仪参数要求</w:t>
                  </w:r>
                </w:p>
              </w:tc>
              <w:tc>
                <w:tcPr>
                  <w:tcW w:w="4309" w:type="dxa"/>
                  <w:shd w:val="clear" w:color="auto" w:fill="FDE9D9" w:themeFill="accent6" w:themeFillTint="33"/>
                  <w:vAlign w:val="center"/>
                </w:tcPr>
                <w:p w14:paraId="52D1EF8D">
                  <w:pPr>
                    <w:spacing w:line="240" w:lineRule="atLeast"/>
                    <w:rPr>
                      <w:rFonts w:eastAsia="宋体" w:cs="Times New Roman" w:asciiTheme="minorEastAsia" w:hAnsiTheme="minorEastAsia"/>
                      <w:sz w:val="22"/>
                      <w:szCs w:val="22"/>
                    </w:rPr>
                  </w:pPr>
                  <w:r>
                    <w:rPr>
                      <w:rFonts w:hint="eastAsia" w:eastAsia="宋体" w:cs="Times New Roman" w:asciiTheme="minorEastAsia" w:hAnsiTheme="minorEastAsia"/>
                      <w:sz w:val="22"/>
                      <w:szCs w:val="22"/>
                    </w:rPr>
                    <w:t>2.1 单机检测项目：血细胞分析及计数、白细胞分类、有核红细胞检测、网织红细胞检测、体液细胞检测、C-反应蛋白、淀粉样蛋白（SAA）等检测项目。血液报告参数≥37个（不含散点图、直方图以及CRP、SAA）。</w:t>
                  </w:r>
                </w:p>
                <w:p w14:paraId="0821A220">
                  <w:pPr>
                    <w:spacing w:line="240" w:lineRule="atLeast"/>
                    <w:rPr>
                      <w:rFonts w:eastAsia="宋体" w:cs="Times New Roman" w:asciiTheme="minorEastAsia" w:hAnsiTheme="minorEastAsia"/>
                      <w:sz w:val="22"/>
                      <w:szCs w:val="22"/>
                    </w:rPr>
                  </w:pPr>
                  <w:r>
                    <w:rPr>
                      <w:rFonts w:hint="eastAsia" w:eastAsia="宋体" w:cs="Times New Roman" w:asciiTheme="minorEastAsia" w:hAnsiTheme="minorEastAsia"/>
                      <w:sz w:val="22"/>
                      <w:szCs w:val="22"/>
                    </w:rPr>
                    <w:t>2.2 单机检测速度需满足：CBC+DIFF≥100个样本/小时，CBC+DIFF+NRBC≥100个样本/小时；CBC+DIFF+RET≥80个样本/小时、CBC+DIFF+CRP≥100个样本/小时、 CBC+DIFF+CRP+SAA≥60个样本/小时。</w:t>
                  </w:r>
                </w:p>
                <w:p w14:paraId="6B378DE7">
                  <w:pPr>
                    <w:spacing w:line="240" w:lineRule="atLeast"/>
                    <w:rPr>
                      <w:rFonts w:eastAsia="宋体" w:cs="Times New Roman" w:asciiTheme="minorEastAsia" w:hAnsiTheme="minorEastAsia"/>
                      <w:sz w:val="22"/>
                      <w:szCs w:val="22"/>
                    </w:rPr>
                  </w:pPr>
                  <w:r>
                    <w:rPr>
                      <w:rFonts w:hint="eastAsia" w:eastAsia="宋体" w:cs="Times New Roman" w:asciiTheme="minorEastAsia" w:hAnsiTheme="minorEastAsia"/>
                      <w:sz w:val="22"/>
                      <w:szCs w:val="22"/>
                    </w:rPr>
                    <w:t>2.3 具有全自动体液（含胸水、腹水、脑脊液、滑膜液等体液）细胞计数和对体液中的白细胞进行分类的功能，并能出具报告参数且体液模式报告检测参数≥6项。</w:t>
                  </w:r>
                </w:p>
                <w:p w14:paraId="203FEF89">
                  <w:pPr>
                    <w:spacing w:line="240" w:lineRule="atLeast"/>
                    <w:rPr>
                      <w:rFonts w:eastAsia="宋体" w:cs="Times New Roman" w:asciiTheme="minorEastAsia" w:hAnsiTheme="minorEastAsia"/>
                      <w:sz w:val="22"/>
                      <w:szCs w:val="22"/>
                    </w:rPr>
                  </w:pPr>
                  <w:r>
                    <w:rPr>
                      <w:rFonts w:hint="eastAsia" w:eastAsia="宋体" w:cs="Times New Roman" w:asciiTheme="minorEastAsia" w:hAnsiTheme="minorEastAsia"/>
                      <w:sz w:val="22"/>
                      <w:szCs w:val="22"/>
                    </w:rPr>
                    <w:t>2.4 全自动血液体液细胞分析仪是三联一体机（血常规+CRP+SAA），并能出具报告参数，其中CRP报告参数≥2个。</w:t>
                  </w:r>
                </w:p>
                <w:p w14:paraId="461826AC">
                  <w:pPr>
                    <w:spacing w:line="240" w:lineRule="atLeast"/>
                    <w:rPr>
                      <w:rFonts w:eastAsia="宋体" w:cs="Times New Roman" w:asciiTheme="minorEastAsia" w:hAnsiTheme="minorEastAsia"/>
                      <w:sz w:val="22"/>
                      <w:szCs w:val="22"/>
                    </w:rPr>
                  </w:pPr>
                  <w:r>
                    <w:rPr>
                      <w:rFonts w:hint="eastAsia" w:eastAsia="宋体" w:cs="Times New Roman" w:asciiTheme="minorEastAsia" w:hAnsiTheme="minorEastAsia"/>
                      <w:sz w:val="22"/>
                      <w:szCs w:val="22"/>
                    </w:rPr>
                    <w:t>2.5 具有低值血小板检测功能，如遇血小板低值时通过自动增加计数颗粒数量来保证血小板检测精度。</w:t>
                  </w:r>
                </w:p>
                <w:p w14:paraId="1DF03392">
                  <w:pPr>
                    <w:spacing w:line="240" w:lineRule="atLeast"/>
                    <w:rPr>
                      <w:rFonts w:eastAsia="宋体" w:cs="Times New Roman" w:asciiTheme="minorEastAsia" w:hAnsiTheme="minorEastAsia"/>
                      <w:sz w:val="22"/>
                      <w:szCs w:val="22"/>
                    </w:rPr>
                  </w:pPr>
                  <w:r>
                    <w:rPr>
                      <w:rFonts w:hint="eastAsia" w:eastAsia="宋体" w:cs="Times New Roman" w:asciiTheme="minorEastAsia" w:hAnsiTheme="minorEastAsia"/>
                      <w:sz w:val="22"/>
                      <w:szCs w:val="22"/>
                    </w:rPr>
                    <w:t>2.6 具有低值白细胞检测功能，如遇白细胞低值时自动增加计数颗粒数量，无需额外消耗试剂。</w:t>
                  </w:r>
                </w:p>
                <w:p w14:paraId="7537385F">
                  <w:pPr>
                    <w:spacing w:line="240" w:lineRule="atLeast"/>
                    <w:rPr>
                      <w:rFonts w:eastAsia="宋体" w:cs="Times New Roman" w:asciiTheme="minorEastAsia" w:hAnsiTheme="minorEastAsia"/>
                      <w:sz w:val="22"/>
                      <w:szCs w:val="22"/>
                    </w:rPr>
                  </w:pPr>
                  <w:r>
                    <w:rPr>
                      <w:rFonts w:hint="eastAsia" w:eastAsia="宋体" w:cs="Times New Roman" w:asciiTheme="minorEastAsia" w:hAnsiTheme="minorEastAsia"/>
                      <w:sz w:val="22"/>
                      <w:szCs w:val="22"/>
                    </w:rPr>
                    <w:t>2.7  检测方法及原理：半导体激光法、鞘流阻抗法、核酸荧光染色法、流式细胞技术。</w:t>
                  </w:r>
                </w:p>
              </w:tc>
            </w:tr>
            <w:tr w14:paraId="5D58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70B10021">
                  <w:pPr>
                    <w:jc w:val="center"/>
                    <w:rPr>
                      <w:rFonts w:eastAsia="宋体" w:cs="Times New Roman" w:asciiTheme="minorEastAsia" w:hAnsiTheme="minorEastAsia"/>
                      <w:sz w:val="24"/>
                    </w:rPr>
                  </w:pPr>
                  <w:r>
                    <w:rPr>
                      <w:rFonts w:hint="eastAsia" w:eastAsia="宋体" w:cs="Times New Roman" w:asciiTheme="minorEastAsia" w:hAnsiTheme="minorEastAsia"/>
                      <w:b/>
                      <w:kern w:val="0"/>
                      <w:sz w:val="24"/>
                    </w:rPr>
                    <w:t>▲</w:t>
                  </w:r>
                  <w:r>
                    <w:rPr>
                      <w:rFonts w:hint="eastAsia" w:eastAsia="宋体" w:cs="Arial" w:asciiTheme="minorEastAsia" w:hAnsiTheme="minorEastAsia"/>
                      <w:sz w:val="24"/>
                    </w:rPr>
                    <w:t>3</w:t>
                  </w:r>
                </w:p>
              </w:tc>
              <w:tc>
                <w:tcPr>
                  <w:tcW w:w="2211" w:type="dxa"/>
                  <w:shd w:val="clear" w:color="auto" w:fill="FDE9D9" w:themeFill="accent6" w:themeFillTint="33"/>
                  <w:vAlign w:val="center"/>
                </w:tcPr>
                <w:p w14:paraId="5A5630F6">
                  <w:pPr>
                    <w:spacing w:line="360" w:lineRule="auto"/>
                    <w:jc w:val="center"/>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线性范围</w:t>
                  </w:r>
                </w:p>
              </w:tc>
              <w:tc>
                <w:tcPr>
                  <w:tcW w:w="4309" w:type="dxa"/>
                  <w:shd w:val="clear" w:color="auto" w:fill="FDE9D9" w:themeFill="accent6" w:themeFillTint="33"/>
                  <w:vAlign w:val="center"/>
                </w:tcPr>
                <w:p w14:paraId="63EF1862">
                  <w:pPr>
                    <w:spacing w:line="240" w:lineRule="atLeast"/>
                    <w:rPr>
                      <w:rFonts w:eastAsia="宋体" w:cs="Times New Roman" w:asciiTheme="minorEastAsia" w:hAnsiTheme="minorEastAsia"/>
                      <w:kern w:val="0"/>
                      <w:sz w:val="22"/>
                      <w:szCs w:val="22"/>
                    </w:rPr>
                  </w:pPr>
                  <w:r>
                    <w:rPr>
                      <w:rFonts w:eastAsia="宋体" w:cs="Times New Roman" w:asciiTheme="minorEastAsia" w:hAnsiTheme="minorEastAsia"/>
                      <w:kern w:val="0"/>
                      <w:sz w:val="22"/>
                      <w:szCs w:val="22"/>
                    </w:rPr>
                    <w:t xml:space="preserve">3.1 </w:t>
                  </w:r>
                  <w:r>
                    <w:rPr>
                      <w:rFonts w:hint="eastAsia" w:eastAsia="宋体" w:cs="Times New Roman" w:asciiTheme="minorEastAsia" w:hAnsiTheme="minorEastAsia"/>
                      <w:kern w:val="0"/>
                      <w:sz w:val="22"/>
                      <w:szCs w:val="22"/>
                    </w:rPr>
                    <w:t>血液分析线性范围（静脉血）：白细胞：（</w:t>
                  </w:r>
                  <w:r>
                    <w:rPr>
                      <w:rFonts w:eastAsia="宋体" w:cs="Times New Roman" w:asciiTheme="minorEastAsia" w:hAnsiTheme="minorEastAsia"/>
                      <w:kern w:val="0"/>
                      <w:sz w:val="22"/>
                      <w:szCs w:val="22"/>
                    </w:rPr>
                    <w:t>0-500</w:t>
                  </w:r>
                  <w:r>
                    <w:rPr>
                      <w:rFonts w:hint="eastAsia" w:eastAsia="宋体" w:cs="Times New Roman" w:asciiTheme="minorEastAsia" w:hAnsiTheme="minorEastAsia"/>
                      <w:kern w:val="0"/>
                      <w:sz w:val="22"/>
                      <w:szCs w:val="22"/>
                    </w:rPr>
                    <w:t>）</w:t>
                  </w:r>
                  <w:r>
                    <w:rPr>
                      <w:rFonts w:eastAsia="宋体" w:cs="Times New Roman" w:asciiTheme="minorEastAsia" w:hAnsiTheme="minorEastAsia"/>
                      <w:kern w:val="0"/>
                      <w:sz w:val="22"/>
                      <w:szCs w:val="22"/>
                    </w:rPr>
                    <w:t> 109/L</w:t>
                  </w:r>
                  <w:r>
                    <w:rPr>
                      <w:rFonts w:hint="eastAsia" w:eastAsia="宋体" w:cs="Times New Roman" w:asciiTheme="minorEastAsia" w:hAnsiTheme="minorEastAsia"/>
                      <w:kern w:val="0"/>
                      <w:sz w:val="22"/>
                      <w:szCs w:val="22"/>
                    </w:rPr>
                    <w:t>，红细胞：（</w:t>
                  </w:r>
                  <w:r>
                    <w:rPr>
                      <w:rFonts w:eastAsia="宋体" w:cs="Times New Roman" w:asciiTheme="minorEastAsia" w:hAnsiTheme="minorEastAsia"/>
                      <w:kern w:val="0"/>
                      <w:sz w:val="22"/>
                      <w:szCs w:val="22"/>
                    </w:rPr>
                    <w:t>0-8.6</w:t>
                  </w:r>
                  <w:r>
                    <w:rPr>
                      <w:rFonts w:hint="eastAsia" w:eastAsia="宋体" w:cs="Times New Roman" w:asciiTheme="minorEastAsia" w:hAnsiTheme="minorEastAsia"/>
                      <w:kern w:val="0"/>
                      <w:sz w:val="22"/>
                      <w:szCs w:val="22"/>
                    </w:rPr>
                    <w:t>）</w:t>
                  </w:r>
                  <w:r>
                    <w:rPr>
                      <w:rFonts w:eastAsia="宋体" w:cs="Times New Roman" w:asciiTheme="minorEastAsia" w:hAnsiTheme="minorEastAsia"/>
                      <w:kern w:val="0"/>
                      <w:sz w:val="22"/>
                      <w:szCs w:val="22"/>
                    </w:rPr>
                    <w:t> 1012/L</w:t>
                  </w:r>
                  <w:r>
                    <w:rPr>
                      <w:rFonts w:hint="eastAsia" w:eastAsia="宋体" w:cs="Times New Roman" w:asciiTheme="minorEastAsia" w:hAnsiTheme="minorEastAsia"/>
                      <w:kern w:val="0"/>
                      <w:sz w:val="22"/>
                      <w:szCs w:val="22"/>
                    </w:rPr>
                    <w:t>，血小板：（</w:t>
                  </w:r>
                  <w:r>
                    <w:rPr>
                      <w:rFonts w:eastAsia="宋体" w:cs="Times New Roman" w:asciiTheme="minorEastAsia" w:hAnsiTheme="minorEastAsia"/>
                      <w:kern w:val="0"/>
                      <w:sz w:val="22"/>
                      <w:szCs w:val="22"/>
                    </w:rPr>
                    <w:t>0-5000</w:t>
                  </w:r>
                  <w:r>
                    <w:rPr>
                      <w:rFonts w:hint="eastAsia" w:eastAsia="宋体" w:cs="Times New Roman" w:asciiTheme="minorEastAsia" w:hAnsiTheme="minorEastAsia"/>
                      <w:kern w:val="0"/>
                      <w:sz w:val="22"/>
                      <w:szCs w:val="22"/>
                    </w:rPr>
                    <w:t>）</w:t>
                  </w:r>
                  <w:r>
                    <w:rPr>
                      <w:rFonts w:eastAsia="宋体" w:cs="Times New Roman" w:asciiTheme="minorEastAsia" w:hAnsiTheme="minorEastAsia"/>
                      <w:kern w:val="0"/>
                      <w:sz w:val="22"/>
                      <w:szCs w:val="22"/>
                    </w:rPr>
                    <w:t> 109/L</w:t>
                  </w:r>
                  <w:r>
                    <w:rPr>
                      <w:rFonts w:hint="eastAsia" w:eastAsia="宋体" w:cs="Times New Roman" w:asciiTheme="minorEastAsia" w:hAnsiTheme="minorEastAsia"/>
                      <w:kern w:val="0"/>
                      <w:sz w:val="22"/>
                      <w:szCs w:val="22"/>
                    </w:rPr>
                    <w:t>。</w:t>
                  </w:r>
                </w:p>
                <w:p w14:paraId="651130D1">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3.2  CRP线性范围：0.2~320mg/L。</w:t>
                  </w:r>
                </w:p>
                <w:p w14:paraId="234DBF5A">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3.3  SAA线性范围：5~300mg/L</w:t>
                  </w:r>
                </w:p>
              </w:tc>
            </w:tr>
            <w:tr w14:paraId="20C1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1AD9C43B">
                  <w:pPr>
                    <w:jc w:val="center"/>
                    <w:rPr>
                      <w:rFonts w:eastAsia="宋体" w:cs="Arial" w:asciiTheme="minorEastAsia" w:hAnsiTheme="minorEastAsia"/>
                      <w:sz w:val="24"/>
                    </w:rPr>
                  </w:pPr>
                  <w:r>
                    <w:rPr>
                      <w:rFonts w:hint="eastAsia" w:eastAsia="宋体" w:cs="Times New Roman" w:asciiTheme="minorEastAsia" w:hAnsiTheme="minorEastAsia"/>
                      <w:b/>
                      <w:kern w:val="0"/>
                      <w:sz w:val="24"/>
                    </w:rPr>
                    <w:t>▲</w:t>
                  </w:r>
                  <w:r>
                    <w:rPr>
                      <w:rFonts w:hint="eastAsia" w:eastAsia="宋体" w:cs="Arial" w:asciiTheme="minorEastAsia" w:hAnsiTheme="minorEastAsia"/>
                      <w:sz w:val="24"/>
                    </w:rPr>
                    <w:t>4</w:t>
                  </w:r>
                </w:p>
              </w:tc>
              <w:tc>
                <w:tcPr>
                  <w:tcW w:w="2211" w:type="dxa"/>
                  <w:shd w:val="clear" w:color="auto" w:fill="FDE9D9" w:themeFill="accent6" w:themeFillTint="33"/>
                  <w:vAlign w:val="center"/>
                </w:tcPr>
                <w:p w14:paraId="16F56940">
                  <w:pPr>
                    <w:spacing w:line="360" w:lineRule="auto"/>
                    <w:jc w:val="center"/>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携带污染率</w:t>
                  </w:r>
                </w:p>
              </w:tc>
              <w:tc>
                <w:tcPr>
                  <w:tcW w:w="4309" w:type="dxa"/>
                  <w:shd w:val="clear" w:color="auto" w:fill="FDE9D9" w:themeFill="accent6" w:themeFillTint="33"/>
                  <w:vAlign w:val="center"/>
                </w:tcPr>
                <w:p w14:paraId="6679B077">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CRP≤0.5%、SAA≤0.5%，WBC≤1.0％， RBC≤1.0％， Hb≤1.0％， Plt≤1.0％。</w:t>
                  </w:r>
                </w:p>
              </w:tc>
            </w:tr>
            <w:tr w14:paraId="1815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7D8B57F8">
                  <w:pPr>
                    <w:jc w:val="center"/>
                    <w:rPr>
                      <w:rFonts w:eastAsia="宋体" w:cs="Arial" w:asciiTheme="minorEastAsia" w:hAnsiTheme="minorEastAsia"/>
                      <w:sz w:val="24"/>
                    </w:rPr>
                  </w:pPr>
                  <w:r>
                    <w:rPr>
                      <w:rFonts w:hint="eastAsia" w:eastAsia="宋体" w:cs="Times New Roman" w:asciiTheme="minorEastAsia" w:hAnsiTheme="minorEastAsia"/>
                      <w:b/>
                      <w:kern w:val="0"/>
                      <w:sz w:val="24"/>
                    </w:rPr>
                    <w:t>▲</w:t>
                  </w:r>
                  <w:r>
                    <w:rPr>
                      <w:rFonts w:hint="eastAsia" w:eastAsia="宋体" w:cs="Arial" w:asciiTheme="minorEastAsia" w:hAnsiTheme="minorEastAsia"/>
                      <w:sz w:val="24"/>
                    </w:rPr>
                    <w:t>5</w:t>
                  </w:r>
                </w:p>
              </w:tc>
              <w:tc>
                <w:tcPr>
                  <w:tcW w:w="2211" w:type="dxa"/>
                  <w:shd w:val="clear" w:color="auto" w:fill="FDE9D9" w:themeFill="accent6" w:themeFillTint="33"/>
                  <w:vAlign w:val="center"/>
                </w:tcPr>
                <w:p w14:paraId="41D089FE">
                  <w:pPr>
                    <w:spacing w:line="360" w:lineRule="auto"/>
                    <w:jc w:val="center"/>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空白计数</w:t>
                  </w:r>
                </w:p>
              </w:tc>
              <w:tc>
                <w:tcPr>
                  <w:tcW w:w="4309" w:type="dxa"/>
                  <w:shd w:val="clear" w:color="auto" w:fill="FDE9D9" w:themeFill="accent6" w:themeFillTint="33"/>
                  <w:vAlign w:val="center"/>
                </w:tcPr>
                <w:p w14:paraId="76F79F56">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白细胞≤0.2x10^9/L，红细胞≤0.02x10^12/L，PLT：≤5×10^9/L，HB:≤1 g/L。</w:t>
                  </w:r>
                </w:p>
              </w:tc>
            </w:tr>
            <w:tr w14:paraId="54AA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232214D7">
                  <w:pPr>
                    <w:jc w:val="center"/>
                    <w:rPr>
                      <w:rFonts w:eastAsia="宋体" w:cs="Arial" w:asciiTheme="minorEastAsia" w:hAnsiTheme="minorEastAsia"/>
                      <w:sz w:val="24"/>
                    </w:rPr>
                  </w:pPr>
                  <w:r>
                    <w:rPr>
                      <w:rFonts w:hint="eastAsia" w:eastAsia="宋体" w:cs="Times New Roman" w:asciiTheme="minorEastAsia" w:hAnsiTheme="minorEastAsia"/>
                      <w:b/>
                      <w:kern w:val="0"/>
                      <w:sz w:val="24"/>
                    </w:rPr>
                    <w:t>▲</w:t>
                  </w:r>
                  <w:r>
                    <w:rPr>
                      <w:rFonts w:hint="eastAsia" w:eastAsia="宋体" w:cs="Arial" w:asciiTheme="minorEastAsia" w:hAnsiTheme="minorEastAsia"/>
                      <w:sz w:val="24"/>
                    </w:rPr>
                    <w:t>6</w:t>
                  </w:r>
                </w:p>
              </w:tc>
              <w:tc>
                <w:tcPr>
                  <w:tcW w:w="2211" w:type="dxa"/>
                  <w:shd w:val="clear" w:color="auto" w:fill="FDE9D9" w:themeFill="accent6" w:themeFillTint="33"/>
                  <w:vAlign w:val="center"/>
                </w:tcPr>
                <w:p w14:paraId="7C812789">
                  <w:pPr>
                    <w:spacing w:line="360" w:lineRule="auto"/>
                    <w:jc w:val="center"/>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检测精度</w:t>
                  </w:r>
                </w:p>
              </w:tc>
              <w:tc>
                <w:tcPr>
                  <w:tcW w:w="4309" w:type="dxa"/>
                  <w:shd w:val="clear" w:color="auto" w:fill="FDE9D9" w:themeFill="accent6" w:themeFillTint="33"/>
                  <w:vAlign w:val="center"/>
                </w:tcPr>
                <w:p w14:paraId="46F9969B">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WBC ≤4.0％ ，RBC ≤2.0％ ，Hb ≤2.0％ ，Hct ≤3.0％ ，Plt ≤6.0％ ，MCV ≤2.0％ ，MCH ≤2.0％ ，MCHC ≤2.5％</w:t>
                  </w:r>
                </w:p>
              </w:tc>
            </w:tr>
            <w:tr w14:paraId="5719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1B36B8E7">
                  <w:pPr>
                    <w:jc w:val="center"/>
                    <w:rPr>
                      <w:rFonts w:eastAsia="宋体" w:cs="Arial" w:asciiTheme="minorEastAsia" w:hAnsiTheme="minorEastAsia"/>
                      <w:sz w:val="24"/>
                    </w:rPr>
                  </w:pPr>
                  <w:r>
                    <w:rPr>
                      <w:rFonts w:hint="eastAsia" w:eastAsia="宋体" w:cs="Times New Roman" w:asciiTheme="minorEastAsia" w:hAnsiTheme="minorEastAsia"/>
                      <w:b/>
                      <w:kern w:val="0"/>
                      <w:sz w:val="24"/>
                    </w:rPr>
                    <w:t>▲</w:t>
                  </w:r>
                  <w:r>
                    <w:rPr>
                      <w:rFonts w:hint="eastAsia" w:eastAsia="宋体" w:cs="Arial" w:asciiTheme="minorEastAsia" w:hAnsiTheme="minorEastAsia"/>
                      <w:sz w:val="24"/>
                    </w:rPr>
                    <w:t>7</w:t>
                  </w:r>
                </w:p>
              </w:tc>
              <w:tc>
                <w:tcPr>
                  <w:tcW w:w="2211" w:type="dxa"/>
                  <w:shd w:val="clear" w:color="auto" w:fill="FDE9D9" w:themeFill="accent6" w:themeFillTint="33"/>
                  <w:vAlign w:val="center"/>
                </w:tcPr>
                <w:p w14:paraId="16D208A3">
                  <w:pPr>
                    <w:spacing w:line="360" w:lineRule="auto"/>
                    <w:jc w:val="center"/>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质控品</w:t>
                  </w:r>
                </w:p>
              </w:tc>
              <w:tc>
                <w:tcPr>
                  <w:tcW w:w="4309" w:type="dxa"/>
                  <w:shd w:val="clear" w:color="auto" w:fill="FDE9D9" w:themeFill="accent6" w:themeFillTint="33"/>
                  <w:vAlign w:val="center"/>
                </w:tcPr>
                <w:p w14:paraId="28C33DD7">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7.1 具备同品牌的复合质控品，一支质控品可以涵盖红细胞计数，白细胞分类、网织红细胞等检测项目（以靶值表为准）</w:t>
                  </w:r>
                </w:p>
                <w:p w14:paraId="0021E897">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7.2 具备同品牌三个不同浓度水平的体液质控品</w:t>
                  </w:r>
                </w:p>
              </w:tc>
            </w:tr>
            <w:tr w14:paraId="6846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13FAD5B8">
                  <w:pPr>
                    <w:jc w:val="center"/>
                    <w:rPr>
                      <w:rFonts w:eastAsia="宋体" w:cs="Arial" w:asciiTheme="minorEastAsia" w:hAnsiTheme="minorEastAsia"/>
                      <w:sz w:val="24"/>
                    </w:rPr>
                  </w:pPr>
                  <w:r>
                    <w:rPr>
                      <w:rFonts w:hint="eastAsia" w:eastAsia="宋体" w:cs="Times New Roman" w:asciiTheme="minorEastAsia" w:hAnsiTheme="minorEastAsia"/>
                      <w:b/>
                      <w:kern w:val="0"/>
                      <w:sz w:val="24"/>
                    </w:rPr>
                    <w:t>▲</w:t>
                  </w:r>
                  <w:r>
                    <w:rPr>
                      <w:rFonts w:hint="eastAsia" w:eastAsia="宋体" w:cs="Arial" w:asciiTheme="minorEastAsia" w:hAnsiTheme="minorEastAsia"/>
                      <w:sz w:val="24"/>
                    </w:rPr>
                    <w:t>8</w:t>
                  </w:r>
                </w:p>
              </w:tc>
              <w:tc>
                <w:tcPr>
                  <w:tcW w:w="2211" w:type="dxa"/>
                  <w:shd w:val="clear" w:color="auto" w:fill="FDE9D9" w:themeFill="accent6" w:themeFillTint="33"/>
                  <w:vAlign w:val="center"/>
                </w:tcPr>
                <w:p w14:paraId="19796013">
                  <w:pPr>
                    <w:spacing w:line="360" w:lineRule="auto"/>
                    <w:jc w:val="center"/>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用血量</w:t>
                  </w:r>
                </w:p>
              </w:tc>
              <w:tc>
                <w:tcPr>
                  <w:tcW w:w="4309" w:type="dxa"/>
                  <w:shd w:val="clear" w:color="auto" w:fill="FDE9D9" w:themeFill="accent6" w:themeFillTint="33"/>
                  <w:vAlign w:val="center"/>
                </w:tcPr>
                <w:p w14:paraId="1987D31A">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8.1 末梢全血检测：CD≤28μl，CD+CRP≤37μl，CD+CRP+SAA≤40μl。</w:t>
                  </w:r>
                </w:p>
                <w:p w14:paraId="4D00666D">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8.2全自动进样模式时用血量≤90ul</w:t>
                  </w:r>
                </w:p>
                <w:p w14:paraId="76F88AF2">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8.3 预稀释模式≤20μl</w:t>
                  </w:r>
                </w:p>
              </w:tc>
            </w:tr>
            <w:tr w14:paraId="0482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2FD1919D">
                  <w:pPr>
                    <w:jc w:val="center"/>
                    <w:rPr>
                      <w:rFonts w:eastAsia="宋体" w:cs="Arial" w:asciiTheme="minorEastAsia" w:hAnsiTheme="minorEastAsia"/>
                      <w:sz w:val="24"/>
                    </w:rPr>
                  </w:pPr>
                  <w:r>
                    <w:rPr>
                      <w:rFonts w:hint="eastAsia" w:eastAsia="宋体" w:cs="Times New Roman" w:asciiTheme="minorEastAsia" w:hAnsiTheme="minorEastAsia"/>
                      <w:b/>
                      <w:kern w:val="0"/>
                      <w:sz w:val="24"/>
                    </w:rPr>
                    <w:t>▲</w:t>
                  </w:r>
                  <w:r>
                    <w:rPr>
                      <w:rFonts w:hint="eastAsia" w:eastAsia="宋体" w:cs="Arial" w:asciiTheme="minorEastAsia" w:hAnsiTheme="minorEastAsia"/>
                      <w:sz w:val="24"/>
                    </w:rPr>
                    <w:t>9</w:t>
                  </w:r>
                </w:p>
              </w:tc>
              <w:tc>
                <w:tcPr>
                  <w:tcW w:w="2211" w:type="dxa"/>
                  <w:shd w:val="clear" w:color="auto" w:fill="FDE9D9" w:themeFill="accent6" w:themeFillTint="33"/>
                  <w:vAlign w:val="center"/>
                </w:tcPr>
                <w:p w14:paraId="13C39E07">
                  <w:pPr>
                    <w:spacing w:line="360" w:lineRule="auto"/>
                    <w:jc w:val="center"/>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全自动推片染色机技术参数</w:t>
                  </w:r>
                </w:p>
              </w:tc>
              <w:tc>
                <w:tcPr>
                  <w:tcW w:w="4309" w:type="dxa"/>
                  <w:shd w:val="clear" w:color="auto" w:fill="FDE9D9" w:themeFill="accent6" w:themeFillTint="33"/>
                  <w:vAlign w:val="center"/>
                </w:tcPr>
                <w:p w14:paraId="6549AAD8">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9.1 工作速度：≥120张/小时；</w:t>
                  </w:r>
                </w:p>
                <w:p w14:paraId="772ADDD5">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9.2 用血量：微量管模式≤50uL；</w:t>
                  </w:r>
                </w:p>
                <w:p w14:paraId="75BE5B1C">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9.3 仪器可自动检测血液粘稠度，根据粘稠度信息去定义推片规则</w:t>
                  </w:r>
                </w:p>
                <w:p w14:paraId="70D9EE6A">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9.4 染色方式：≥7种</w:t>
                  </w:r>
                </w:p>
              </w:tc>
            </w:tr>
            <w:tr w14:paraId="6B6A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5D7A426F">
                  <w:pPr>
                    <w:jc w:val="center"/>
                    <w:rPr>
                      <w:rFonts w:eastAsia="宋体" w:cs="Arial" w:asciiTheme="minorEastAsia" w:hAnsiTheme="minorEastAsia"/>
                      <w:sz w:val="24"/>
                    </w:rPr>
                  </w:pPr>
                  <w:r>
                    <w:rPr>
                      <w:rFonts w:hint="eastAsia" w:eastAsia="宋体" w:cs="Times New Roman" w:asciiTheme="minorEastAsia" w:hAnsiTheme="minorEastAsia"/>
                      <w:b/>
                      <w:kern w:val="0"/>
                      <w:sz w:val="24"/>
                    </w:rPr>
                    <w:t>▲</w:t>
                  </w:r>
                  <w:r>
                    <w:rPr>
                      <w:rFonts w:hint="eastAsia" w:eastAsia="宋体" w:cs="Arial" w:asciiTheme="minorEastAsia" w:hAnsiTheme="minorEastAsia"/>
                      <w:sz w:val="24"/>
                    </w:rPr>
                    <w:t>10</w:t>
                  </w:r>
                </w:p>
              </w:tc>
              <w:tc>
                <w:tcPr>
                  <w:tcW w:w="2211" w:type="dxa"/>
                  <w:shd w:val="clear" w:color="auto" w:fill="FDE9D9" w:themeFill="accent6" w:themeFillTint="33"/>
                  <w:vAlign w:val="center"/>
                </w:tcPr>
                <w:p w14:paraId="09683F14">
                  <w:pPr>
                    <w:spacing w:line="360" w:lineRule="auto"/>
                    <w:jc w:val="center"/>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全自动血细胞形态学分析仪技术参数</w:t>
                  </w:r>
                </w:p>
              </w:tc>
              <w:tc>
                <w:tcPr>
                  <w:tcW w:w="4309" w:type="dxa"/>
                  <w:shd w:val="clear" w:color="auto" w:fill="FDE9D9" w:themeFill="accent6" w:themeFillTint="33"/>
                  <w:vAlign w:val="center"/>
                </w:tcPr>
                <w:p w14:paraId="3705F34F">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10.1 全自动处理：从进样、扫描、定位、加油、各放大倍数间切换、拍摄、分类到报告完全自动化操作，自动完成白细胞分类、红细胞形态学分析、血小板分析及异常细胞归类。</w:t>
                  </w:r>
                </w:p>
                <w:p w14:paraId="5AE07E8D">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10.2 外周血图片处理速度：完全分类100个白细胞+RBC+PLT≥50张/小时。</w:t>
                  </w:r>
                </w:p>
                <w:p w14:paraId="6F2F1A0B">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10.3 血涂片兼容性：可接收手工制备的血涂片，自动接收适配的推、染片机制备的血涂片，兼容多种玻片规格。</w:t>
                  </w:r>
                </w:p>
                <w:p w14:paraId="0D3DF427">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10.4 优先选择全自动细胞形态学分析仪与血液细胞分析仪为同品牌。</w:t>
                  </w:r>
                </w:p>
              </w:tc>
            </w:tr>
            <w:tr w14:paraId="5A6C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794" w:type="dxa"/>
                  <w:shd w:val="clear" w:color="auto" w:fill="FDE9D9" w:themeFill="accent6" w:themeFillTint="33"/>
                  <w:vAlign w:val="center"/>
                </w:tcPr>
                <w:p w14:paraId="7C18EEF3">
                  <w:pPr>
                    <w:jc w:val="center"/>
                    <w:rPr>
                      <w:rFonts w:eastAsia="宋体" w:cs="Times New Roman" w:asciiTheme="minorEastAsia" w:hAnsiTheme="minorEastAsia"/>
                      <w:b/>
                      <w:kern w:val="0"/>
                      <w:sz w:val="24"/>
                    </w:rPr>
                  </w:pPr>
                  <w:r>
                    <w:rPr>
                      <w:rFonts w:hint="eastAsia" w:eastAsia="宋体" w:cs="Times New Roman" w:asciiTheme="minorEastAsia" w:hAnsiTheme="minorEastAsia"/>
                      <w:b/>
                      <w:kern w:val="0"/>
                      <w:sz w:val="24"/>
                    </w:rPr>
                    <w:t>▲</w:t>
                  </w:r>
                  <w:r>
                    <w:rPr>
                      <w:rFonts w:hint="eastAsia" w:eastAsia="宋体" w:cs="Arial" w:asciiTheme="minorEastAsia" w:hAnsiTheme="minorEastAsia"/>
                      <w:sz w:val="24"/>
                    </w:rPr>
                    <w:t>11</w:t>
                  </w:r>
                </w:p>
              </w:tc>
              <w:tc>
                <w:tcPr>
                  <w:tcW w:w="2211" w:type="dxa"/>
                  <w:shd w:val="clear" w:color="auto" w:fill="FDE9D9" w:themeFill="accent6" w:themeFillTint="33"/>
                  <w:vAlign w:val="center"/>
                </w:tcPr>
                <w:p w14:paraId="526B4744">
                  <w:pPr>
                    <w:spacing w:line="360" w:lineRule="auto"/>
                    <w:jc w:val="center"/>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其他耗材</w:t>
                  </w:r>
                </w:p>
              </w:tc>
              <w:tc>
                <w:tcPr>
                  <w:tcW w:w="4309" w:type="dxa"/>
                  <w:shd w:val="clear" w:color="auto" w:fill="FDE9D9" w:themeFill="accent6" w:themeFillTint="33"/>
                  <w:vAlign w:val="center"/>
                </w:tcPr>
                <w:p w14:paraId="1D95AD08">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kern w:val="0"/>
                      <w:sz w:val="22"/>
                      <w:szCs w:val="22"/>
                    </w:rPr>
                    <w:t>11.1优先选择提供所有项目室内质控品、校准品、一次性末梢血采血管、推片染片耗材、清洗液等耗材的厂家。</w:t>
                  </w:r>
                </w:p>
              </w:tc>
            </w:tr>
          </w:tbl>
          <w:p w14:paraId="687A9C0C">
            <w:pPr>
              <w:spacing w:line="360" w:lineRule="auto"/>
            </w:pPr>
          </w:p>
        </w:tc>
      </w:tr>
      <w:tr w14:paraId="22FA5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58B6DF5C"/>
        </w:tc>
        <w:tc>
          <w:tcPr>
            <w:tcW w:w="486" w:type="dxa"/>
          </w:tcPr>
          <w:p w14:paraId="49DB8E8A">
            <w:r>
              <w:rPr>
                <w:rFonts w:hint="eastAsia"/>
              </w:rPr>
              <w:t>2</w:t>
            </w:r>
          </w:p>
        </w:tc>
        <w:tc>
          <w:tcPr>
            <w:tcW w:w="7500" w:type="dxa"/>
          </w:tcPr>
          <w:p w14:paraId="2437FA02">
            <w:pPr>
              <w:spacing w:line="360" w:lineRule="auto"/>
              <w:jc w:val="left"/>
            </w:pPr>
            <w:r>
              <w:rPr>
                <w:rFonts w:hint="eastAsia"/>
              </w:rPr>
              <w:t>货物要求：</w:t>
            </w:r>
          </w:p>
          <w:p w14:paraId="5C47BBB7">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548DC40E">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35F8D4AE">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6B7FE187">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375564F3">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42E6F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47D1654F">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482E654E">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510F9403">
      <w:pPr>
        <w:pStyle w:val="7"/>
        <w:ind w:left="0" w:leftChars="0" w:firstLine="0" w:firstLineChars="0"/>
      </w:pPr>
    </w:p>
    <w:p w14:paraId="221D4A4A">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7235F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7B9CEA2">
            <w:pPr>
              <w:spacing w:line="360" w:lineRule="auto"/>
            </w:pPr>
            <w:r>
              <w:rPr>
                <w:rFonts w:hint="eastAsia"/>
              </w:rPr>
              <w:t>① 供货</w:t>
            </w:r>
            <w:r>
              <w:t>时间</w:t>
            </w:r>
          </w:p>
        </w:tc>
        <w:tc>
          <w:tcPr>
            <w:tcW w:w="6663" w:type="dxa"/>
          </w:tcPr>
          <w:p w14:paraId="37EA6393">
            <w:pPr>
              <w:spacing w:line="360" w:lineRule="auto"/>
            </w:pPr>
            <w:r>
              <w:rPr>
                <w:rFonts w:hint="eastAsia"/>
              </w:rPr>
              <w:t>合同签订生效后30个日历天内，完成到货安装调试并提交采购人试用。</w:t>
            </w:r>
          </w:p>
        </w:tc>
      </w:tr>
      <w:tr w14:paraId="47DFC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5F5B89D">
            <w:pPr>
              <w:spacing w:line="360" w:lineRule="auto"/>
            </w:pPr>
            <w:r>
              <w:rPr>
                <w:rFonts w:hint="eastAsia"/>
              </w:rPr>
              <w:t>② 供货</w:t>
            </w:r>
            <w:r>
              <w:t>地点</w:t>
            </w:r>
          </w:p>
        </w:tc>
        <w:tc>
          <w:tcPr>
            <w:tcW w:w="6663" w:type="dxa"/>
          </w:tcPr>
          <w:p w14:paraId="707BFC83">
            <w:pPr>
              <w:spacing w:line="360" w:lineRule="auto"/>
            </w:pPr>
            <w:r>
              <w:rPr>
                <w:rFonts w:hint="eastAsia"/>
                <w:color w:val="000000" w:themeColor="text1"/>
                <w14:textFill>
                  <w14:solidFill>
                    <w14:schemeClr w14:val="tx1"/>
                  </w14:solidFill>
                </w14:textFill>
              </w:rPr>
              <w:t>采购人</w:t>
            </w:r>
            <w:r>
              <w:t>指定地点</w:t>
            </w:r>
          </w:p>
        </w:tc>
      </w:tr>
      <w:tr w14:paraId="47AD2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575D7823">
            <w:pPr>
              <w:spacing w:line="360" w:lineRule="auto"/>
            </w:pPr>
            <w:r>
              <w:rPr>
                <w:rFonts w:hint="eastAsia"/>
              </w:rPr>
              <w:t xml:space="preserve">③ </w:t>
            </w:r>
            <w:r>
              <w:t>付款方式</w:t>
            </w:r>
          </w:p>
        </w:tc>
        <w:tc>
          <w:tcPr>
            <w:tcW w:w="6663" w:type="dxa"/>
          </w:tcPr>
          <w:p w14:paraId="6F35AE46">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5AE6D581">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27B26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95B1165">
            <w:pPr>
              <w:spacing w:line="360" w:lineRule="auto"/>
            </w:pPr>
            <w:r>
              <w:rPr>
                <w:rFonts w:hint="eastAsia"/>
              </w:rPr>
              <w:t xml:space="preserve">④ </w:t>
            </w:r>
            <w:r>
              <w:t>验收要求</w:t>
            </w:r>
          </w:p>
        </w:tc>
        <w:tc>
          <w:tcPr>
            <w:tcW w:w="6663" w:type="dxa"/>
          </w:tcPr>
          <w:p w14:paraId="1F273E27">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1D1CF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50915CC">
            <w:pPr>
              <w:spacing w:line="360" w:lineRule="auto"/>
            </w:pPr>
            <w:r>
              <w:rPr>
                <w:rFonts w:hint="eastAsia"/>
              </w:rPr>
              <w:t xml:space="preserve">⑤ </w:t>
            </w:r>
            <w:r>
              <w:t>其他</w:t>
            </w:r>
            <w:r>
              <w:rPr>
                <w:rFonts w:hint="eastAsia"/>
              </w:rPr>
              <w:t>要求</w:t>
            </w:r>
          </w:p>
        </w:tc>
        <w:tc>
          <w:tcPr>
            <w:tcW w:w="6663" w:type="dxa"/>
          </w:tcPr>
          <w:p w14:paraId="23A4E4FF">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61AB740D">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5619358A">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34AA9AD9">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663D47CD">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6FBB22AC">
            <w:pPr>
              <w:spacing w:line="360" w:lineRule="auto"/>
              <w:jc w:val="left"/>
              <w:rPr>
                <w:bCs/>
                <w:szCs w:val="21"/>
              </w:rPr>
            </w:pPr>
            <w:r>
              <w:rPr>
                <w:rFonts w:hint="eastAsia"/>
                <w:bCs/>
                <w:szCs w:val="21"/>
              </w:rPr>
              <w:t>（3）承担设备首次计量校准费用。</w:t>
            </w:r>
          </w:p>
          <w:p w14:paraId="1C671209">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3391ABC6">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0E835281">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74123"/>
    <w:rsid w:val="0008595D"/>
    <w:rsid w:val="000A2591"/>
    <w:rsid w:val="000C2191"/>
    <w:rsid w:val="000C2559"/>
    <w:rsid w:val="000C7E78"/>
    <w:rsid w:val="000D591A"/>
    <w:rsid w:val="000F2543"/>
    <w:rsid w:val="000F2734"/>
    <w:rsid w:val="000F75BA"/>
    <w:rsid w:val="00101611"/>
    <w:rsid w:val="00111C33"/>
    <w:rsid w:val="00140B25"/>
    <w:rsid w:val="001A350B"/>
    <w:rsid w:val="001B20EF"/>
    <w:rsid w:val="001C10CE"/>
    <w:rsid w:val="001D52B0"/>
    <w:rsid w:val="001D5C7E"/>
    <w:rsid w:val="001F4128"/>
    <w:rsid w:val="00232E4B"/>
    <w:rsid w:val="002404B3"/>
    <w:rsid w:val="00260911"/>
    <w:rsid w:val="002C2158"/>
    <w:rsid w:val="003031D2"/>
    <w:rsid w:val="00311E7F"/>
    <w:rsid w:val="00334C9E"/>
    <w:rsid w:val="003536ED"/>
    <w:rsid w:val="00353A1C"/>
    <w:rsid w:val="00355391"/>
    <w:rsid w:val="0036203F"/>
    <w:rsid w:val="00392AD1"/>
    <w:rsid w:val="003A1C57"/>
    <w:rsid w:val="003B5BBD"/>
    <w:rsid w:val="003C700F"/>
    <w:rsid w:val="003D281C"/>
    <w:rsid w:val="003E33C7"/>
    <w:rsid w:val="003F3D39"/>
    <w:rsid w:val="0040229F"/>
    <w:rsid w:val="004271D6"/>
    <w:rsid w:val="00430231"/>
    <w:rsid w:val="0045573B"/>
    <w:rsid w:val="00455D3D"/>
    <w:rsid w:val="00473900"/>
    <w:rsid w:val="004901B0"/>
    <w:rsid w:val="004D533E"/>
    <w:rsid w:val="004E1053"/>
    <w:rsid w:val="004F127F"/>
    <w:rsid w:val="004F3F45"/>
    <w:rsid w:val="00502107"/>
    <w:rsid w:val="005024DE"/>
    <w:rsid w:val="00510DE3"/>
    <w:rsid w:val="00543040"/>
    <w:rsid w:val="005441B4"/>
    <w:rsid w:val="005803D5"/>
    <w:rsid w:val="00595D7D"/>
    <w:rsid w:val="005B6097"/>
    <w:rsid w:val="005E2E53"/>
    <w:rsid w:val="005E7652"/>
    <w:rsid w:val="00647249"/>
    <w:rsid w:val="00657FAD"/>
    <w:rsid w:val="0067283E"/>
    <w:rsid w:val="006A3F22"/>
    <w:rsid w:val="006A6624"/>
    <w:rsid w:val="006C3B09"/>
    <w:rsid w:val="006D0AA5"/>
    <w:rsid w:val="006D7262"/>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37EFF"/>
    <w:rsid w:val="00B51D64"/>
    <w:rsid w:val="00B54242"/>
    <w:rsid w:val="00B631E1"/>
    <w:rsid w:val="00BA2AD8"/>
    <w:rsid w:val="00BC72F0"/>
    <w:rsid w:val="00BD4999"/>
    <w:rsid w:val="00C30EC5"/>
    <w:rsid w:val="00C74D09"/>
    <w:rsid w:val="00C913DB"/>
    <w:rsid w:val="00C979AF"/>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ED0456"/>
    <w:rsid w:val="00F0111E"/>
    <w:rsid w:val="00F06225"/>
    <w:rsid w:val="00F35112"/>
    <w:rsid w:val="00F7023F"/>
    <w:rsid w:val="00F72C24"/>
    <w:rsid w:val="00F7555A"/>
    <w:rsid w:val="00F86435"/>
    <w:rsid w:val="00F868EC"/>
    <w:rsid w:val="00FB74F6"/>
    <w:rsid w:val="00FC45BC"/>
    <w:rsid w:val="00FC6EFF"/>
    <w:rsid w:val="00FD5CEA"/>
    <w:rsid w:val="00FE169A"/>
    <w:rsid w:val="00FF7939"/>
    <w:rsid w:val="4FCA0B10"/>
    <w:rsid w:val="6D380910"/>
    <w:rsid w:val="7458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Balloon Text"/>
    <w:basedOn w:val="1"/>
    <w:link w:val="16"/>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3743</Words>
  <Characters>4110</Characters>
  <Lines>30</Lines>
  <Paragraphs>8</Paragraphs>
  <TotalTime>1</TotalTime>
  <ScaleCrop>false</ScaleCrop>
  <LinksUpToDate>false</LinksUpToDate>
  <CharactersWithSpaces>4172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2025-12-24T03:55:00Z</dcterms:created>
  <dc:creator>何烷桦</dc:creator>
  <cp:lastModifiedBy>伍卓坚</cp:lastModifiedBy>
  <dcterms:modified xsi:type="dcterms:W3CDTF">2025-12-24T16:25:12Z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7D4EE713682C4B809D71878E0BA286C9_13</vt:lpwstr>
  </property>
  <property fmtid="{D5CDD505-2E9C-101B-9397-08002B2CF9AE}" pid="4" name="KSOTemplateDocerSaveRecord">
    <vt:lpwstr>eyJoZGlkIjoiYTUxMDM2ZmRjMmE2ZWY4NmMzMzJiYTVkYzk3ZjQ2MjciLCJ1c2VySWQiOiIyMjY0NjUzODUifQ==</vt:lpwstr>
  </property>
</Properties>
</file>