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1F95D">
      <w:pPr>
        <w:spacing w:line="360" w:lineRule="auto"/>
        <w:jc w:val="center"/>
      </w:pPr>
      <w:r>
        <w:rPr>
          <w:b/>
          <w:sz w:val="36"/>
        </w:rPr>
        <w:t>采购需求</w:t>
      </w:r>
    </w:p>
    <w:p w14:paraId="6DB57C2A">
      <w:pPr>
        <w:spacing w:line="360" w:lineRule="auto"/>
        <w:rPr>
          <w:b/>
          <w:sz w:val="28"/>
        </w:rPr>
      </w:pPr>
      <w:r>
        <w:rPr>
          <w:b/>
          <w:sz w:val="28"/>
        </w:rPr>
        <w:t>一、项目概况：</w:t>
      </w:r>
    </w:p>
    <w:p w14:paraId="0650C57D">
      <w:pPr>
        <w:spacing w:line="360" w:lineRule="auto"/>
        <w:ind w:firstLine="420"/>
      </w:pPr>
      <w:r>
        <w:rPr>
          <w:rFonts w:hint="eastAsia"/>
        </w:rPr>
        <w:t>本次采购内容为江门市妇幼保健院</w:t>
      </w:r>
      <w:r>
        <w:rPr>
          <w:rFonts w:hint="eastAsia"/>
          <w:b/>
        </w:rPr>
        <w:t>医疗设备项目（编号YL2515）院内采购项目</w:t>
      </w:r>
      <w:r>
        <w:rPr>
          <w:rFonts w:hint="eastAsia"/>
        </w:rPr>
        <w:t>（具体详见技术要求）。</w:t>
      </w:r>
    </w:p>
    <w:p w14:paraId="2788D1F9">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24154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29903EF6">
            <w:pPr>
              <w:spacing w:line="360" w:lineRule="auto"/>
              <w:jc w:val="center"/>
            </w:pPr>
            <w:r>
              <w:rPr>
                <w:rFonts w:hint="eastAsia"/>
              </w:rPr>
              <w:t>项目编号</w:t>
            </w:r>
          </w:p>
        </w:tc>
        <w:tc>
          <w:tcPr>
            <w:tcW w:w="1701" w:type="dxa"/>
            <w:vAlign w:val="center"/>
          </w:tcPr>
          <w:p w14:paraId="214F1BEF">
            <w:pPr>
              <w:spacing w:line="360" w:lineRule="auto"/>
              <w:jc w:val="center"/>
            </w:pPr>
            <w:r>
              <w:rPr>
                <w:rFonts w:hint="eastAsia"/>
              </w:rPr>
              <w:t>项目</w:t>
            </w:r>
            <w:r>
              <w:t>名称</w:t>
            </w:r>
          </w:p>
        </w:tc>
        <w:tc>
          <w:tcPr>
            <w:tcW w:w="1077" w:type="dxa"/>
            <w:vAlign w:val="center"/>
          </w:tcPr>
          <w:p w14:paraId="52FFB226">
            <w:pPr>
              <w:spacing w:line="360" w:lineRule="auto"/>
              <w:jc w:val="center"/>
            </w:pPr>
            <w:r>
              <w:t>单位</w:t>
            </w:r>
          </w:p>
        </w:tc>
        <w:tc>
          <w:tcPr>
            <w:tcW w:w="1077" w:type="dxa"/>
            <w:vAlign w:val="center"/>
          </w:tcPr>
          <w:p w14:paraId="374C048A">
            <w:pPr>
              <w:spacing w:line="360" w:lineRule="auto"/>
              <w:jc w:val="center"/>
            </w:pPr>
            <w:r>
              <w:t>数量</w:t>
            </w:r>
          </w:p>
        </w:tc>
        <w:tc>
          <w:tcPr>
            <w:tcW w:w="1077" w:type="dxa"/>
            <w:vAlign w:val="center"/>
          </w:tcPr>
          <w:p w14:paraId="034C2830">
            <w:pPr>
              <w:spacing w:line="360" w:lineRule="auto"/>
              <w:jc w:val="center"/>
            </w:pPr>
            <w:r>
              <w:t>预算单价（</w:t>
            </w:r>
            <w:r>
              <w:rPr>
                <w:rFonts w:hint="eastAsia"/>
              </w:rPr>
              <w:t>万</w:t>
            </w:r>
            <w:r>
              <w:t>元）</w:t>
            </w:r>
          </w:p>
        </w:tc>
        <w:tc>
          <w:tcPr>
            <w:tcW w:w="1077" w:type="dxa"/>
            <w:vAlign w:val="center"/>
          </w:tcPr>
          <w:p w14:paraId="4BF3954E">
            <w:pPr>
              <w:spacing w:line="360" w:lineRule="auto"/>
              <w:jc w:val="center"/>
            </w:pPr>
            <w:r>
              <w:t>预算总价（</w:t>
            </w:r>
            <w:r>
              <w:rPr>
                <w:rFonts w:hint="eastAsia"/>
              </w:rPr>
              <w:t>万</w:t>
            </w:r>
            <w:r>
              <w:t>元）</w:t>
            </w:r>
          </w:p>
        </w:tc>
        <w:tc>
          <w:tcPr>
            <w:tcW w:w="1134" w:type="dxa"/>
            <w:vAlign w:val="center"/>
          </w:tcPr>
          <w:p w14:paraId="19EAE3C7">
            <w:pPr>
              <w:spacing w:line="360" w:lineRule="auto"/>
              <w:jc w:val="center"/>
              <w:rPr>
                <w:b/>
              </w:rPr>
            </w:pPr>
            <w:r>
              <w:rPr>
                <w:b/>
              </w:rPr>
              <w:t>技术要求</w:t>
            </w:r>
          </w:p>
        </w:tc>
      </w:tr>
      <w:tr w14:paraId="758B3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51BED8E4">
            <w:pPr>
              <w:jc w:val="center"/>
              <w:rPr>
                <w:rFonts w:hint="default" w:eastAsiaTheme="minorEastAsia"/>
                <w:lang w:val="en-US" w:eastAsia="zh-CN"/>
              </w:rPr>
            </w:pPr>
            <w:bookmarkStart w:id="0" w:name="_GoBack" w:colFirst="0" w:colLast="6"/>
            <w:r>
              <w:rPr>
                <w:rFonts w:hint="eastAsia"/>
              </w:rPr>
              <w:t>YL25</w:t>
            </w:r>
            <w:r>
              <w:rPr>
                <w:rFonts w:hint="eastAsia"/>
                <w:lang w:val="en-US" w:eastAsia="zh-CN"/>
              </w:rPr>
              <w:t>23</w:t>
            </w:r>
          </w:p>
        </w:tc>
        <w:tc>
          <w:tcPr>
            <w:tcW w:w="1701" w:type="dxa"/>
            <w:vAlign w:val="center"/>
          </w:tcPr>
          <w:p w14:paraId="45702D5D">
            <w:pPr>
              <w:jc w:val="center"/>
            </w:pPr>
            <w:r>
              <w:rPr>
                <w:rFonts w:hint="eastAsia"/>
              </w:rPr>
              <w:t>全自动核酸检测仪</w:t>
            </w:r>
          </w:p>
        </w:tc>
        <w:tc>
          <w:tcPr>
            <w:tcW w:w="1077" w:type="dxa"/>
            <w:vAlign w:val="center"/>
          </w:tcPr>
          <w:p w14:paraId="764AD8E7">
            <w:pPr>
              <w:jc w:val="center"/>
            </w:pPr>
            <w:r>
              <w:rPr>
                <w:rFonts w:hint="eastAsia"/>
              </w:rPr>
              <w:t>台</w:t>
            </w:r>
          </w:p>
        </w:tc>
        <w:tc>
          <w:tcPr>
            <w:tcW w:w="1077" w:type="dxa"/>
            <w:vAlign w:val="center"/>
          </w:tcPr>
          <w:p w14:paraId="6AA4A7AD">
            <w:pPr>
              <w:jc w:val="center"/>
            </w:pPr>
            <w:r>
              <w:rPr>
                <w:rFonts w:hint="eastAsia"/>
              </w:rPr>
              <w:t>1</w:t>
            </w:r>
          </w:p>
        </w:tc>
        <w:tc>
          <w:tcPr>
            <w:tcW w:w="1077" w:type="dxa"/>
            <w:vAlign w:val="center"/>
          </w:tcPr>
          <w:p w14:paraId="2519D5A6">
            <w:pPr>
              <w:jc w:val="center"/>
            </w:pPr>
            <w:r>
              <w:rPr>
                <w:rFonts w:hint="eastAsia"/>
              </w:rPr>
              <w:t>0.5</w:t>
            </w:r>
          </w:p>
        </w:tc>
        <w:tc>
          <w:tcPr>
            <w:tcW w:w="1077" w:type="dxa"/>
            <w:vAlign w:val="center"/>
          </w:tcPr>
          <w:p w14:paraId="453E5D40">
            <w:pPr>
              <w:jc w:val="center"/>
            </w:pPr>
            <w:r>
              <w:rPr>
                <w:rFonts w:hint="eastAsia"/>
              </w:rPr>
              <w:t>0.5</w:t>
            </w:r>
          </w:p>
        </w:tc>
        <w:tc>
          <w:tcPr>
            <w:tcW w:w="1134" w:type="dxa"/>
            <w:vAlign w:val="center"/>
          </w:tcPr>
          <w:p w14:paraId="095F22A2">
            <w:pPr>
              <w:jc w:val="center"/>
            </w:pPr>
            <w:r>
              <w:rPr>
                <w:rFonts w:hint="eastAsia"/>
              </w:rPr>
              <w:t>详见附表一</w:t>
            </w:r>
          </w:p>
        </w:tc>
      </w:tr>
      <w:bookmarkEnd w:id="0"/>
    </w:tbl>
    <w:p w14:paraId="618BA155">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512C3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10D9C0AA">
            <w:r>
              <w:t>参数性质</w:t>
            </w:r>
          </w:p>
        </w:tc>
        <w:tc>
          <w:tcPr>
            <w:tcW w:w="486" w:type="dxa"/>
          </w:tcPr>
          <w:p w14:paraId="570839EA">
            <w:r>
              <w:t>序号</w:t>
            </w:r>
          </w:p>
        </w:tc>
        <w:tc>
          <w:tcPr>
            <w:tcW w:w="7500" w:type="dxa"/>
            <w:vAlign w:val="center"/>
          </w:tcPr>
          <w:p w14:paraId="0D087A06">
            <w:pPr>
              <w:jc w:val="center"/>
            </w:pPr>
            <w:r>
              <w:t>具体技术(参数)要求</w:t>
            </w:r>
          </w:p>
        </w:tc>
      </w:tr>
      <w:tr w14:paraId="63969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3C6DBB3B"/>
        </w:tc>
        <w:tc>
          <w:tcPr>
            <w:tcW w:w="486" w:type="dxa"/>
          </w:tcPr>
          <w:p w14:paraId="16CDA54F">
            <w:r>
              <w:rPr>
                <w:rFonts w:hint="eastAsia"/>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5B15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shd w:val="clear" w:color="auto" w:fill="FDE9D9" w:themeFill="accent6" w:themeFillTint="33"/>
                  <w:vAlign w:val="center"/>
                </w:tcPr>
                <w:p w14:paraId="62AD43F6">
                  <w:pPr>
                    <w:spacing w:line="360" w:lineRule="auto"/>
                    <w:jc w:val="center"/>
                    <w:rPr>
                      <w:rFonts w:eastAsia="宋体" w:cs="Times New Roman" w:asciiTheme="minorEastAsia" w:hAnsiTheme="minorEastAsia"/>
                      <w:b/>
                      <w:kern w:val="0"/>
                      <w:sz w:val="22"/>
                      <w:szCs w:val="22"/>
                    </w:rPr>
                  </w:pPr>
                  <w:r>
                    <w:rPr>
                      <w:rFonts w:eastAsia="宋体" w:cs="Times New Roman" w:asciiTheme="minorEastAsia" w:hAnsiTheme="minorEastAsia"/>
                      <w:b/>
                      <w:kern w:val="0"/>
                      <w:sz w:val="22"/>
                      <w:szCs w:val="22"/>
                    </w:rPr>
                    <w:t>序号</w:t>
                  </w:r>
                </w:p>
              </w:tc>
              <w:tc>
                <w:tcPr>
                  <w:tcW w:w="6350" w:type="dxa"/>
                  <w:shd w:val="clear" w:color="auto" w:fill="FDE9D9" w:themeFill="accent6" w:themeFillTint="33"/>
                  <w:vAlign w:val="center"/>
                </w:tcPr>
                <w:p w14:paraId="3572ECAC">
                  <w:pPr>
                    <w:spacing w:line="360" w:lineRule="auto"/>
                    <w:jc w:val="center"/>
                    <w:rPr>
                      <w:rFonts w:eastAsia="宋体" w:cs="Times New Roman" w:asciiTheme="minorEastAsia" w:hAnsiTheme="minorEastAsia"/>
                      <w:b/>
                      <w:kern w:val="0"/>
                      <w:sz w:val="22"/>
                      <w:szCs w:val="22"/>
                    </w:rPr>
                  </w:pPr>
                  <w:r>
                    <w:rPr>
                      <w:rFonts w:eastAsia="宋体" w:cs="Times New Roman" w:asciiTheme="minorEastAsia" w:hAnsiTheme="minorEastAsia"/>
                      <w:b/>
                      <w:kern w:val="0"/>
                      <w:sz w:val="22"/>
                      <w:szCs w:val="22"/>
                    </w:rPr>
                    <w:t>技术和性能参数</w:t>
                  </w:r>
                  <w:r>
                    <w:rPr>
                      <w:rFonts w:hint="eastAsia" w:eastAsia="宋体" w:cs="Times New Roman" w:asciiTheme="minorEastAsia" w:hAnsiTheme="minorEastAsia"/>
                      <w:b/>
                      <w:kern w:val="0"/>
                      <w:sz w:val="22"/>
                      <w:szCs w:val="22"/>
                    </w:rPr>
                    <w:t>要求</w:t>
                  </w:r>
                </w:p>
              </w:tc>
            </w:tr>
            <w:tr w14:paraId="5E1E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13DFFC1">
                  <w:pPr>
                    <w:jc w:val="center"/>
                    <w:rPr>
                      <w:rFonts w:eastAsia="宋体" w:cs="宋体" w:asciiTheme="minorEastAsia" w:hAnsiTheme="minorEastAsia"/>
                      <w:sz w:val="24"/>
                    </w:rPr>
                  </w:pPr>
                  <w:r>
                    <w:rPr>
                      <w:rFonts w:hint="eastAsia" w:eastAsia="宋体" w:cs="宋体" w:asciiTheme="minorEastAsia" w:hAnsiTheme="minorEastAsia"/>
                      <w:sz w:val="24"/>
                    </w:rPr>
                    <w:t>★</w:t>
                  </w:r>
                  <w:r>
                    <w:rPr>
                      <w:rFonts w:hint="eastAsia" w:eastAsia="宋体" w:cs="宋体" w:asciiTheme="minorEastAsia" w:hAnsiTheme="minorEastAsia"/>
                      <w:b/>
                      <w:kern w:val="0"/>
                      <w:sz w:val="24"/>
                    </w:rPr>
                    <w:t>1</w:t>
                  </w:r>
                </w:p>
              </w:tc>
              <w:tc>
                <w:tcPr>
                  <w:tcW w:w="6350" w:type="dxa"/>
                  <w:shd w:val="clear" w:color="auto" w:fill="FDE9D9" w:themeFill="accent6" w:themeFillTint="33"/>
                  <w:vAlign w:val="center"/>
                </w:tcPr>
                <w:p w14:paraId="38D369D9">
                  <w:pPr>
                    <w:spacing w:line="240" w:lineRule="atLeast"/>
                    <w:rPr>
                      <w:rFonts w:cs="Times New Roman" w:asciiTheme="majorEastAsia" w:hAnsiTheme="majorEastAsia" w:eastAsiaTheme="majorEastAsia"/>
                      <w:kern w:val="0"/>
                      <w:sz w:val="24"/>
                    </w:rPr>
                  </w:pPr>
                  <w:r>
                    <w:rPr>
                      <w:rFonts w:hint="eastAsia" w:cs="Times New Roman" w:asciiTheme="majorEastAsia" w:hAnsiTheme="majorEastAsia" w:eastAsiaTheme="majorEastAsia"/>
                      <w:b/>
                      <w:kern w:val="0"/>
                      <w:sz w:val="24"/>
                    </w:rPr>
                    <w:t>1.1</w:t>
                  </w:r>
                  <w:r>
                    <w:rPr>
                      <w:rFonts w:hint="eastAsia" w:cs="Times New Roman" w:asciiTheme="majorEastAsia" w:hAnsiTheme="majorEastAsia" w:eastAsiaTheme="majorEastAsia"/>
                      <w:kern w:val="0"/>
                      <w:sz w:val="24"/>
                    </w:rPr>
                    <w:t>自动化程度：设备应能实现从样本裂解、核酸提取纯化、PCR扩增检测到阴阳性结果判定的全流程自动化，中途无需人工干预和开盖移液。</w:t>
                  </w:r>
                </w:p>
                <w:p w14:paraId="52A23A8B">
                  <w:pPr>
                    <w:spacing w:line="240" w:lineRule="atLeast"/>
                    <w:rPr>
                      <w:rFonts w:cs="Times New Roman" w:asciiTheme="majorEastAsia" w:hAnsiTheme="majorEastAsia" w:eastAsiaTheme="majorEastAsia"/>
                      <w:kern w:val="0"/>
                      <w:sz w:val="24"/>
                    </w:rPr>
                  </w:pPr>
                  <w:r>
                    <w:rPr>
                      <w:rFonts w:hint="eastAsia" w:cs="Times New Roman" w:asciiTheme="majorEastAsia" w:hAnsiTheme="majorEastAsia" w:eastAsiaTheme="majorEastAsia"/>
                      <w:b/>
                      <w:kern w:val="0"/>
                      <w:sz w:val="24"/>
                    </w:rPr>
                    <w:t>1.2</w:t>
                  </w:r>
                  <w:r>
                    <w:rPr>
                      <w:rFonts w:hint="eastAsia" w:cs="Times New Roman" w:asciiTheme="majorEastAsia" w:hAnsiTheme="majorEastAsia" w:eastAsiaTheme="majorEastAsia"/>
                      <w:kern w:val="0"/>
                      <w:sz w:val="24"/>
                    </w:rPr>
                    <w:t>灵活性：每个检测位相互独立互不干扰，可做到随来随检。</w:t>
                  </w:r>
                </w:p>
                <w:p w14:paraId="6266A915">
                  <w:pPr>
                    <w:spacing w:line="240" w:lineRule="atLeast"/>
                    <w:rPr>
                      <w:rFonts w:cs="Times New Roman" w:asciiTheme="majorEastAsia" w:hAnsiTheme="majorEastAsia" w:eastAsiaTheme="majorEastAsia"/>
                      <w:kern w:val="0"/>
                      <w:sz w:val="24"/>
                    </w:rPr>
                  </w:pPr>
                  <w:r>
                    <w:rPr>
                      <w:rFonts w:hint="eastAsia" w:cs="Times New Roman" w:asciiTheme="majorEastAsia" w:hAnsiTheme="majorEastAsia" w:eastAsiaTheme="majorEastAsia"/>
                      <w:b/>
                      <w:kern w:val="0"/>
                      <w:sz w:val="24"/>
                    </w:rPr>
                    <w:t>1.3</w:t>
                  </w:r>
                  <w:r>
                    <w:rPr>
                      <w:rFonts w:hint="eastAsia" w:cs="Times New Roman" w:asciiTheme="majorEastAsia" w:hAnsiTheme="majorEastAsia" w:eastAsiaTheme="majorEastAsia"/>
                      <w:kern w:val="0"/>
                      <w:sz w:val="24"/>
                    </w:rPr>
                    <w:t>检测项目：至少包括甲乙流、肺支。</w:t>
                  </w:r>
                </w:p>
                <w:p w14:paraId="5F172649">
                  <w:pPr>
                    <w:spacing w:line="240" w:lineRule="atLeast"/>
                    <w:rPr>
                      <w:rFonts w:cs="Times New Roman" w:asciiTheme="majorEastAsia" w:hAnsiTheme="majorEastAsia" w:eastAsiaTheme="majorEastAsia"/>
                      <w:kern w:val="0"/>
                      <w:sz w:val="24"/>
                    </w:rPr>
                  </w:pPr>
                  <w:r>
                    <w:rPr>
                      <w:rFonts w:hint="eastAsia" w:cs="Times New Roman" w:asciiTheme="majorEastAsia" w:hAnsiTheme="majorEastAsia" w:eastAsiaTheme="majorEastAsia"/>
                      <w:b/>
                      <w:kern w:val="0"/>
                      <w:sz w:val="24"/>
                    </w:rPr>
                    <w:t>1.4</w:t>
                  </w:r>
                  <w:r>
                    <w:rPr>
                      <w:rFonts w:hint="eastAsia" w:cs="Times New Roman" w:asciiTheme="majorEastAsia" w:hAnsiTheme="majorEastAsia" w:eastAsiaTheme="majorEastAsia"/>
                      <w:kern w:val="0"/>
                      <w:sz w:val="24"/>
                    </w:rPr>
                    <w:t>内部质控：人源性内标，监控从采样到出结果全流程与试剂质量。</w:t>
                  </w:r>
                </w:p>
                <w:p w14:paraId="3F8B87C7">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b/>
                      <w:kern w:val="0"/>
                      <w:sz w:val="24"/>
                    </w:rPr>
                    <w:t>1.5</w:t>
                  </w:r>
                  <w:r>
                    <w:rPr>
                      <w:rFonts w:hint="eastAsia" w:cs="Times New Roman" w:asciiTheme="majorEastAsia" w:hAnsiTheme="majorEastAsia" w:eastAsiaTheme="majorEastAsia"/>
                      <w:kern w:val="0"/>
                      <w:sz w:val="24"/>
                    </w:rPr>
                    <w:t>运行速度：从加样上机到出结果时间≤1小时</w:t>
                  </w:r>
                </w:p>
              </w:tc>
            </w:tr>
            <w:tr w14:paraId="202E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C18FB7C">
                  <w:pPr>
                    <w:jc w:val="center"/>
                    <w:rPr>
                      <w:rFonts w:eastAsia="宋体" w:cs="宋体" w:asciiTheme="minorEastAsia" w:hAnsiTheme="minorEastAsia"/>
                      <w:b/>
                      <w:kern w:val="0"/>
                      <w:sz w:val="24"/>
                    </w:rPr>
                  </w:pPr>
                  <w:r>
                    <w:rPr>
                      <w:rFonts w:hint="eastAsia" w:eastAsia="宋体" w:cs="宋体" w:asciiTheme="minorEastAsia" w:hAnsiTheme="minorEastAsia"/>
                      <w:sz w:val="24"/>
                    </w:rPr>
                    <w:t>▲</w:t>
                  </w:r>
                  <w:r>
                    <w:rPr>
                      <w:rFonts w:hint="eastAsia" w:eastAsia="宋体" w:cs="宋体" w:asciiTheme="minorEastAsia" w:hAnsiTheme="minorEastAsia"/>
                      <w:b/>
                      <w:kern w:val="0"/>
                      <w:sz w:val="24"/>
                    </w:rPr>
                    <w:t>2</w:t>
                  </w:r>
                </w:p>
              </w:tc>
              <w:tc>
                <w:tcPr>
                  <w:tcW w:w="6350" w:type="dxa"/>
                  <w:shd w:val="clear" w:color="auto" w:fill="FDE9D9" w:themeFill="accent6" w:themeFillTint="33"/>
                  <w:vAlign w:val="center"/>
                </w:tcPr>
                <w:p w14:paraId="1B239A3F">
                  <w:pPr>
                    <w:spacing w:line="240" w:lineRule="atLeast"/>
                    <w:rPr>
                      <w:rFonts w:cs="Times New Roman" w:asciiTheme="majorEastAsia" w:hAnsiTheme="majorEastAsia" w:eastAsiaTheme="majorEastAsia"/>
                      <w:kern w:val="0"/>
                      <w:sz w:val="24"/>
                    </w:rPr>
                  </w:pPr>
                  <w:r>
                    <w:rPr>
                      <w:rFonts w:hint="eastAsia" w:cs="Times New Roman" w:asciiTheme="majorEastAsia" w:hAnsiTheme="majorEastAsia" w:eastAsiaTheme="majorEastAsia"/>
                      <w:b/>
                      <w:kern w:val="0"/>
                      <w:sz w:val="24"/>
                    </w:rPr>
                    <w:t>2.1</w:t>
                  </w:r>
                  <w:r>
                    <w:rPr>
                      <w:rFonts w:hint="eastAsia" w:cs="Times New Roman" w:asciiTheme="majorEastAsia" w:hAnsiTheme="majorEastAsia" w:eastAsiaTheme="majorEastAsia"/>
                      <w:kern w:val="0"/>
                      <w:sz w:val="24"/>
                    </w:rPr>
                    <w:t>检测通量：独立通道位≥8个。</w:t>
                  </w:r>
                </w:p>
                <w:p w14:paraId="124A3C47">
                  <w:pPr>
                    <w:spacing w:line="240" w:lineRule="atLeast"/>
                    <w:rPr>
                      <w:rFonts w:cs="Times New Roman" w:asciiTheme="majorEastAsia" w:hAnsiTheme="majorEastAsia" w:eastAsiaTheme="majorEastAsia"/>
                      <w:kern w:val="0"/>
                      <w:sz w:val="24"/>
                    </w:rPr>
                  </w:pPr>
                  <w:r>
                    <w:rPr>
                      <w:rFonts w:hint="eastAsia" w:cs="Times New Roman" w:asciiTheme="majorEastAsia" w:hAnsiTheme="majorEastAsia" w:eastAsiaTheme="majorEastAsia"/>
                      <w:b/>
                      <w:kern w:val="0"/>
                      <w:sz w:val="24"/>
                    </w:rPr>
                    <w:t>2.2</w:t>
                  </w:r>
                  <w:r>
                    <w:rPr>
                      <w:rFonts w:hint="eastAsia" w:cs="Times New Roman" w:asciiTheme="majorEastAsia" w:hAnsiTheme="majorEastAsia" w:eastAsiaTheme="majorEastAsia"/>
                      <w:kern w:val="0"/>
                      <w:sz w:val="24"/>
                    </w:rPr>
                    <w:t>支持同时检测不同项目，每孔独立，不受项目跟设备运行状态影响。</w:t>
                  </w:r>
                </w:p>
                <w:p w14:paraId="60080F68">
                  <w:pPr>
                    <w:spacing w:line="240" w:lineRule="atLeast"/>
                    <w:rPr>
                      <w:rFonts w:cs="Times New Roman" w:asciiTheme="majorEastAsia" w:hAnsiTheme="majorEastAsia" w:eastAsiaTheme="majorEastAsia"/>
                      <w:kern w:val="0"/>
                      <w:sz w:val="24"/>
                    </w:rPr>
                  </w:pPr>
                  <w:r>
                    <w:rPr>
                      <w:rFonts w:hint="eastAsia" w:cs="Times New Roman" w:asciiTheme="majorEastAsia" w:hAnsiTheme="majorEastAsia" w:eastAsiaTheme="majorEastAsia"/>
                      <w:b/>
                      <w:bCs/>
                      <w:kern w:val="0"/>
                      <w:sz w:val="24"/>
                    </w:rPr>
                    <w:t>2.3</w:t>
                  </w:r>
                  <w:r>
                    <w:rPr>
                      <w:rFonts w:hint="eastAsia" w:cs="Times New Roman" w:asciiTheme="majorEastAsia" w:hAnsiTheme="majorEastAsia" w:eastAsiaTheme="majorEastAsia"/>
                      <w:kern w:val="0"/>
                      <w:sz w:val="24"/>
                    </w:rPr>
                    <w:t>配通用病毒保存管和采集拭子。</w:t>
                  </w:r>
                </w:p>
                <w:p w14:paraId="30088D7D">
                  <w:pPr>
                    <w:spacing w:line="240" w:lineRule="atLeast"/>
                    <w:rPr>
                      <w:rFonts w:cs="Times New Roman" w:asciiTheme="majorEastAsia" w:hAnsiTheme="majorEastAsia" w:eastAsiaTheme="majorEastAsia"/>
                      <w:kern w:val="0"/>
                      <w:sz w:val="24"/>
                    </w:rPr>
                  </w:pPr>
                  <w:r>
                    <w:rPr>
                      <w:rFonts w:hint="eastAsia" w:cs="Times New Roman" w:asciiTheme="majorEastAsia" w:hAnsiTheme="majorEastAsia" w:eastAsiaTheme="majorEastAsia"/>
                      <w:b/>
                      <w:bCs/>
                      <w:kern w:val="0"/>
                      <w:sz w:val="24"/>
                    </w:rPr>
                    <w:t>2.4</w:t>
                  </w:r>
                  <w:r>
                    <w:rPr>
                      <w:rFonts w:hint="eastAsia" w:cs="Times New Roman" w:asciiTheme="majorEastAsia" w:hAnsiTheme="majorEastAsia" w:eastAsiaTheme="majorEastAsia"/>
                      <w:kern w:val="0"/>
                      <w:sz w:val="24"/>
                    </w:rPr>
                    <w:t>投标产品为最新上市的产品，自动化程度高、操作简便。24小时内响应售后。</w:t>
                  </w:r>
                </w:p>
                <w:p w14:paraId="025D5543">
                  <w:pPr>
                    <w:spacing w:line="240" w:lineRule="atLeast"/>
                    <w:rPr>
                      <w:rFonts w:cs="Times New Roman" w:asciiTheme="majorEastAsia" w:hAnsiTheme="majorEastAsia" w:eastAsiaTheme="majorEastAsia"/>
                      <w:kern w:val="0"/>
                      <w:sz w:val="24"/>
                    </w:rPr>
                  </w:pPr>
                  <w:r>
                    <w:rPr>
                      <w:rFonts w:hint="eastAsia" w:cs="Times New Roman" w:asciiTheme="majorEastAsia" w:hAnsiTheme="majorEastAsia" w:eastAsiaTheme="majorEastAsia"/>
                      <w:b/>
                      <w:bCs/>
                      <w:kern w:val="0"/>
                      <w:sz w:val="24"/>
                    </w:rPr>
                    <w:t>2.5</w:t>
                  </w:r>
                  <w:r>
                    <w:rPr>
                      <w:rFonts w:hint="eastAsia" w:cs="Times New Roman" w:asciiTheme="majorEastAsia" w:hAnsiTheme="majorEastAsia" w:eastAsiaTheme="majorEastAsia"/>
                      <w:kern w:val="0"/>
                      <w:sz w:val="24"/>
                    </w:rPr>
                    <w:t>检测项目包括鼻病毒、呼吸道合胞病毒、副流感病毒、腺病毒的产品优先。</w:t>
                  </w:r>
                </w:p>
              </w:tc>
            </w:tr>
            <w:tr w14:paraId="6AB9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55465B6">
                  <w:pPr>
                    <w:jc w:val="center"/>
                    <w:rPr>
                      <w:rFonts w:eastAsia="宋体" w:cs="Arial" w:asciiTheme="minorEastAsia" w:hAnsiTheme="minorEastAsia"/>
                      <w:sz w:val="24"/>
                    </w:rPr>
                  </w:pPr>
                  <w:r>
                    <w:rPr>
                      <w:rFonts w:hint="eastAsia" w:eastAsia="宋体" w:cs="Arial" w:asciiTheme="minorEastAsia" w:hAnsiTheme="minorEastAsia"/>
                      <w:sz w:val="24"/>
                    </w:rPr>
                    <w:t>3</w:t>
                  </w:r>
                </w:p>
              </w:tc>
              <w:tc>
                <w:tcPr>
                  <w:tcW w:w="6350" w:type="dxa"/>
                  <w:shd w:val="clear" w:color="auto" w:fill="FDE9D9" w:themeFill="accent6" w:themeFillTint="33"/>
                  <w:vAlign w:val="center"/>
                </w:tcPr>
                <w:p w14:paraId="183E606C">
                  <w:pPr>
                    <w:spacing w:line="240" w:lineRule="atLeast"/>
                    <w:rPr>
                      <w:rFonts w:cs="Times New Roman" w:asciiTheme="majorEastAsia" w:hAnsiTheme="majorEastAsia" w:eastAsiaTheme="majorEastAsia"/>
                      <w:kern w:val="0"/>
                      <w:sz w:val="24"/>
                    </w:rPr>
                  </w:pPr>
                  <w:r>
                    <w:rPr>
                      <w:rFonts w:hint="eastAsia" w:cs="Times New Roman" w:asciiTheme="majorEastAsia" w:hAnsiTheme="majorEastAsia" w:eastAsiaTheme="majorEastAsia"/>
                      <w:kern w:val="0"/>
                      <w:sz w:val="24"/>
                    </w:rPr>
                    <w:t>3.1上机检测时长越短得分越高。</w:t>
                  </w:r>
                </w:p>
                <w:p w14:paraId="60052208">
                  <w:pPr>
                    <w:spacing w:line="240" w:lineRule="atLeast"/>
                    <w:rPr>
                      <w:rFonts w:cs="Times New Roman" w:asciiTheme="majorEastAsia" w:hAnsiTheme="majorEastAsia" w:eastAsiaTheme="majorEastAsia"/>
                      <w:kern w:val="0"/>
                      <w:sz w:val="24"/>
                    </w:rPr>
                  </w:pPr>
                  <w:r>
                    <w:rPr>
                      <w:rFonts w:hint="eastAsia" w:cs="Times New Roman" w:asciiTheme="majorEastAsia" w:hAnsiTheme="majorEastAsia" w:eastAsiaTheme="majorEastAsia"/>
                      <w:kern w:val="0"/>
                      <w:sz w:val="24"/>
                    </w:rPr>
                    <w:t>3.2 检测试剂可常温保存，试剂有效期≥6个月。</w:t>
                  </w:r>
                </w:p>
                <w:p w14:paraId="138003F5">
                  <w:pPr>
                    <w:spacing w:line="240" w:lineRule="atLeast"/>
                    <w:rPr>
                      <w:rFonts w:cs="Times New Roman" w:asciiTheme="majorEastAsia" w:hAnsiTheme="majorEastAsia" w:eastAsiaTheme="majorEastAsia"/>
                      <w:kern w:val="0"/>
                      <w:sz w:val="24"/>
                    </w:rPr>
                  </w:pPr>
                  <w:r>
                    <w:rPr>
                      <w:rFonts w:hint="eastAsia" w:cs="Times New Roman" w:asciiTheme="majorEastAsia" w:hAnsiTheme="majorEastAsia" w:eastAsiaTheme="majorEastAsia"/>
                      <w:kern w:val="0"/>
                      <w:sz w:val="24"/>
                    </w:rPr>
                    <w:t>3.3仪器保养和校准：设备全保，每年至少2次仪器保养和1次专业校准，并出具校准报告。提供仪器所需的室内质控品和检测质控所需的试剂。</w:t>
                  </w:r>
                </w:p>
                <w:p w14:paraId="6D6561C5">
                  <w:pPr>
                    <w:spacing w:line="240" w:lineRule="atLeast"/>
                    <w:rPr>
                      <w:rFonts w:cs="Times New Roman" w:asciiTheme="majorEastAsia" w:hAnsiTheme="majorEastAsia" w:eastAsiaTheme="majorEastAsia"/>
                      <w:kern w:val="0"/>
                      <w:sz w:val="24"/>
                    </w:rPr>
                  </w:pPr>
                </w:p>
              </w:tc>
            </w:tr>
          </w:tbl>
          <w:p w14:paraId="2B7A041E">
            <w:pPr>
              <w:spacing w:line="360" w:lineRule="auto"/>
            </w:pPr>
          </w:p>
        </w:tc>
      </w:tr>
      <w:tr w14:paraId="437A4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2C3DC7A3"/>
        </w:tc>
        <w:tc>
          <w:tcPr>
            <w:tcW w:w="486" w:type="dxa"/>
          </w:tcPr>
          <w:p w14:paraId="64B1F90C">
            <w:r>
              <w:rPr>
                <w:rFonts w:hint="eastAsia"/>
              </w:rPr>
              <w:t>2</w:t>
            </w:r>
          </w:p>
        </w:tc>
        <w:tc>
          <w:tcPr>
            <w:tcW w:w="7500" w:type="dxa"/>
          </w:tcPr>
          <w:p w14:paraId="682A0E71">
            <w:pPr>
              <w:spacing w:line="360" w:lineRule="auto"/>
              <w:jc w:val="left"/>
            </w:pPr>
            <w:r>
              <w:rPr>
                <w:rFonts w:hint="eastAsia"/>
              </w:rPr>
              <w:t>货物要求：</w:t>
            </w:r>
          </w:p>
          <w:p w14:paraId="2DF49F61">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6B1FD381">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2DF229DB">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461DFD71">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57E851F4">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607DF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1F2F07B3">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290BC149">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08795846">
      <w:pPr>
        <w:pStyle w:val="7"/>
        <w:ind w:left="0" w:leftChars="0" w:firstLine="0" w:firstLineChars="0"/>
      </w:pPr>
    </w:p>
    <w:p w14:paraId="10651A19">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03E51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7733A09C">
            <w:pPr>
              <w:spacing w:line="360" w:lineRule="auto"/>
            </w:pPr>
            <w:r>
              <w:rPr>
                <w:rFonts w:hint="eastAsia"/>
              </w:rPr>
              <w:t>① 供货</w:t>
            </w:r>
            <w:r>
              <w:t>时间</w:t>
            </w:r>
          </w:p>
        </w:tc>
        <w:tc>
          <w:tcPr>
            <w:tcW w:w="6663" w:type="dxa"/>
          </w:tcPr>
          <w:p w14:paraId="149E61C6">
            <w:pPr>
              <w:spacing w:line="360" w:lineRule="auto"/>
            </w:pPr>
            <w:r>
              <w:rPr>
                <w:rFonts w:hint="eastAsia"/>
              </w:rPr>
              <w:t>合同签订生效后30个日历天内，完成到货安装调试并提交采购人试用。</w:t>
            </w:r>
          </w:p>
        </w:tc>
      </w:tr>
      <w:tr w14:paraId="67F7B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3B6E9CA9">
            <w:pPr>
              <w:spacing w:line="360" w:lineRule="auto"/>
            </w:pPr>
            <w:r>
              <w:rPr>
                <w:rFonts w:hint="eastAsia"/>
              </w:rPr>
              <w:t>② 供货</w:t>
            </w:r>
            <w:r>
              <w:t>地点</w:t>
            </w:r>
          </w:p>
        </w:tc>
        <w:tc>
          <w:tcPr>
            <w:tcW w:w="6663" w:type="dxa"/>
          </w:tcPr>
          <w:p w14:paraId="1409E5E9">
            <w:pPr>
              <w:spacing w:line="360" w:lineRule="auto"/>
            </w:pPr>
            <w:r>
              <w:rPr>
                <w:rFonts w:hint="eastAsia"/>
                <w:color w:val="000000" w:themeColor="text1"/>
                <w14:textFill>
                  <w14:solidFill>
                    <w14:schemeClr w14:val="tx1"/>
                  </w14:solidFill>
                </w14:textFill>
              </w:rPr>
              <w:t>采购人</w:t>
            </w:r>
            <w:r>
              <w:t>指定地点</w:t>
            </w:r>
          </w:p>
        </w:tc>
      </w:tr>
      <w:tr w14:paraId="05898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7D990E44">
            <w:pPr>
              <w:spacing w:line="360" w:lineRule="auto"/>
            </w:pPr>
            <w:r>
              <w:rPr>
                <w:rFonts w:hint="eastAsia"/>
              </w:rPr>
              <w:t xml:space="preserve">③ </w:t>
            </w:r>
            <w:r>
              <w:t>付款方式</w:t>
            </w:r>
          </w:p>
        </w:tc>
        <w:tc>
          <w:tcPr>
            <w:tcW w:w="6663" w:type="dxa"/>
          </w:tcPr>
          <w:p w14:paraId="5FAB9A3B">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007E2D68">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1001D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57DA366C">
            <w:pPr>
              <w:spacing w:line="360" w:lineRule="auto"/>
            </w:pPr>
            <w:r>
              <w:rPr>
                <w:rFonts w:hint="eastAsia"/>
              </w:rPr>
              <w:t xml:space="preserve">④ </w:t>
            </w:r>
            <w:r>
              <w:t>验收要求</w:t>
            </w:r>
          </w:p>
        </w:tc>
        <w:tc>
          <w:tcPr>
            <w:tcW w:w="6663" w:type="dxa"/>
          </w:tcPr>
          <w:p w14:paraId="02572600">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3EE25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4893398E">
            <w:pPr>
              <w:spacing w:line="360" w:lineRule="auto"/>
            </w:pPr>
            <w:r>
              <w:rPr>
                <w:rFonts w:hint="eastAsia"/>
              </w:rPr>
              <w:t xml:space="preserve">⑤ </w:t>
            </w:r>
            <w:r>
              <w:t>其他</w:t>
            </w:r>
            <w:r>
              <w:rPr>
                <w:rFonts w:hint="eastAsia"/>
              </w:rPr>
              <w:t>要求</w:t>
            </w:r>
          </w:p>
        </w:tc>
        <w:tc>
          <w:tcPr>
            <w:tcW w:w="6663" w:type="dxa"/>
          </w:tcPr>
          <w:p w14:paraId="16A92840">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68EFB0EA">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230FE28A">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3C9946B0">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546B0CD4">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7C011EC0">
            <w:pPr>
              <w:spacing w:line="360" w:lineRule="auto"/>
              <w:jc w:val="left"/>
              <w:rPr>
                <w:bCs/>
                <w:szCs w:val="21"/>
              </w:rPr>
            </w:pPr>
            <w:r>
              <w:rPr>
                <w:rFonts w:hint="eastAsia"/>
                <w:bCs/>
                <w:szCs w:val="21"/>
              </w:rPr>
              <w:t>（3）承担设备首次计量校准费用。</w:t>
            </w:r>
          </w:p>
          <w:p w14:paraId="4EACD501">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090455DB">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524BB877">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8595D"/>
    <w:rsid w:val="000A2591"/>
    <w:rsid w:val="000C2191"/>
    <w:rsid w:val="000C2559"/>
    <w:rsid w:val="000C7E78"/>
    <w:rsid w:val="000F2543"/>
    <w:rsid w:val="000F2734"/>
    <w:rsid w:val="000F75BA"/>
    <w:rsid w:val="00111C33"/>
    <w:rsid w:val="00140B25"/>
    <w:rsid w:val="0019461C"/>
    <w:rsid w:val="00197661"/>
    <w:rsid w:val="001A350B"/>
    <w:rsid w:val="001B20EF"/>
    <w:rsid w:val="001C10CE"/>
    <w:rsid w:val="001D52B0"/>
    <w:rsid w:val="001D5C7E"/>
    <w:rsid w:val="001F4128"/>
    <w:rsid w:val="00232E4B"/>
    <w:rsid w:val="002404B3"/>
    <w:rsid w:val="00260911"/>
    <w:rsid w:val="002C2158"/>
    <w:rsid w:val="003031D2"/>
    <w:rsid w:val="00311E7F"/>
    <w:rsid w:val="003434A9"/>
    <w:rsid w:val="003536ED"/>
    <w:rsid w:val="00353A1C"/>
    <w:rsid w:val="00355391"/>
    <w:rsid w:val="00392AD1"/>
    <w:rsid w:val="00392E01"/>
    <w:rsid w:val="003A1C57"/>
    <w:rsid w:val="003B5BBD"/>
    <w:rsid w:val="003C700F"/>
    <w:rsid w:val="003E33C7"/>
    <w:rsid w:val="004271D6"/>
    <w:rsid w:val="00430231"/>
    <w:rsid w:val="00450D10"/>
    <w:rsid w:val="0045573B"/>
    <w:rsid w:val="00482504"/>
    <w:rsid w:val="004901B0"/>
    <w:rsid w:val="004936D6"/>
    <w:rsid w:val="004D533E"/>
    <w:rsid w:val="004E1053"/>
    <w:rsid w:val="004F127F"/>
    <w:rsid w:val="004F3F45"/>
    <w:rsid w:val="004F7216"/>
    <w:rsid w:val="00502107"/>
    <w:rsid w:val="005024DE"/>
    <w:rsid w:val="00510DE3"/>
    <w:rsid w:val="00543040"/>
    <w:rsid w:val="005441B4"/>
    <w:rsid w:val="005B6097"/>
    <w:rsid w:val="005E2E53"/>
    <w:rsid w:val="005E3F92"/>
    <w:rsid w:val="005E7652"/>
    <w:rsid w:val="00647249"/>
    <w:rsid w:val="00657FAD"/>
    <w:rsid w:val="0067283E"/>
    <w:rsid w:val="006A6624"/>
    <w:rsid w:val="006C3B09"/>
    <w:rsid w:val="006D0AA5"/>
    <w:rsid w:val="00723790"/>
    <w:rsid w:val="007756FD"/>
    <w:rsid w:val="007A06CF"/>
    <w:rsid w:val="007B79E4"/>
    <w:rsid w:val="007C7D9B"/>
    <w:rsid w:val="007D7C66"/>
    <w:rsid w:val="007E2963"/>
    <w:rsid w:val="007E5AAF"/>
    <w:rsid w:val="00811633"/>
    <w:rsid w:val="008128BA"/>
    <w:rsid w:val="00812DF4"/>
    <w:rsid w:val="00814C7F"/>
    <w:rsid w:val="008301C7"/>
    <w:rsid w:val="008467A8"/>
    <w:rsid w:val="008B7CE7"/>
    <w:rsid w:val="008C01AA"/>
    <w:rsid w:val="008C2B2E"/>
    <w:rsid w:val="008F0B96"/>
    <w:rsid w:val="0090666E"/>
    <w:rsid w:val="00915B76"/>
    <w:rsid w:val="009536CE"/>
    <w:rsid w:val="00965EA1"/>
    <w:rsid w:val="00971E56"/>
    <w:rsid w:val="0098133A"/>
    <w:rsid w:val="009906BE"/>
    <w:rsid w:val="009967B2"/>
    <w:rsid w:val="009A5096"/>
    <w:rsid w:val="009B1881"/>
    <w:rsid w:val="009C06ED"/>
    <w:rsid w:val="00A2387F"/>
    <w:rsid w:val="00A41983"/>
    <w:rsid w:val="00AB5A5A"/>
    <w:rsid w:val="00AC2AAE"/>
    <w:rsid w:val="00AD0C59"/>
    <w:rsid w:val="00AE18BB"/>
    <w:rsid w:val="00AF0FE7"/>
    <w:rsid w:val="00B0212A"/>
    <w:rsid w:val="00B15BC2"/>
    <w:rsid w:val="00B51D64"/>
    <w:rsid w:val="00B54242"/>
    <w:rsid w:val="00B631E1"/>
    <w:rsid w:val="00BA2AD8"/>
    <w:rsid w:val="00BC72F0"/>
    <w:rsid w:val="00BD4999"/>
    <w:rsid w:val="00C30EC5"/>
    <w:rsid w:val="00C51207"/>
    <w:rsid w:val="00C74D09"/>
    <w:rsid w:val="00C913DB"/>
    <w:rsid w:val="00C97331"/>
    <w:rsid w:val="00CC3F01"/>
    <w:rsid w:val="00CE35EB"/>
    <w:rsid w:val="00CF72DC"/>
    <w:rsid w:val="00D00FE5"/>
    <w:rsid w:val="00D049EF"/>
    <w:rsid w:val="00D1694B"/>
    <w:rsid w:val="00D2439D"/>
    <w:rsid w:val="00D32C33"/>
    <w:rsid w:val="00D548CE"/>
    <w:rsid w:val="00D54911"/>
    <w:rsid w:val="00D55C95"/>
    <w:rsid w:val="00D560F0"/>
    <w:rsid w:val="00D727CB"/>
    <w:rsid w:val="00D74460"/>
    <w:rsid w:val="00D8671A"/>
    <w:rsid w:val="00DB7160"/>
    <w:rsid w:val="00DE3C72"/>
    <w:rsid w:val="00E06D6A"/>
    <w:rsid w:val="00E160E1"/>
    <w:rsid w:val="00E36425"/>
    <w:rsid w:val="00E63EF0"/>
    <w:rsid w:val="00E749A3"/>
    <w:rsid w:val="00E76FC9"/>
    <w:rsid w:val="00E87C42"/>
    <w:rsid w:val="00EC4A4C"/>
    <w:rsid w:val="00F0111E"/>
    <w:rsid w:val="00F06225"/>
    <w:rsid w:val="00F7023F"/>
    <w:rsid w:val="00F72C24"/>
    <w:rsid w:val="00F86435"/>
    <w:rsid w:val="00F868EC"/>
    <w:rsid w:val="00FB74F6"/>
    <w:rsid w:val="00FC6EFF"/>
    <w:rsid w:val="00FD5CEA"/>
    <w:rsid w:val="00FE169A"/>
    <w:rsid w:val="04B70A4A"/>
    <w:rsid w:val="2F585E30"/>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2837</Words>
  <Characters>2908</Characters>
  <Lines>21</Lines>
  <Paragraphs>6</Paragraphs>
  <TotalTime>0</TotalTime>
  <ScaleCrop>false</ScaleCrop>
  <LinksUpToDate>false</LinksUpToDate>
  <CharactersWithSpaces>2919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2025-12-24T01:31:00Z</dcterms:created>
  <dc:creator>何烷桦</dc:creator>
  <cp:lastModifiedBy>伍卓坚</cp:lastModifiedBy>
  <dcterms:modified xsi:type="dcterms:W3CDTF">2025-12-24T16:25:14Z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6AF2B5BBB571493383C9234D0AF8DFDD_13</vt:lpwstr>
  </property>
  <property fmtid="{D5CDD505-2E9C-101B-9397-08002B2CF9AE}" pid="4" name="KSOTemplateDocerSaveRecord">
    <vt:lpwstr>eyJoZGlkIjoiYTUxMDM2ZmRjMmE2ZWY4NmMzMzJiYTVkYzk3ZjQ2MjciLCJ1c2VySWQiOiIyMjY0NjUzODUifQ==</vt:lpwstr>
  </property>
</Properties>
</file>