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307A5">
      <w:pPr>
        <w:spacing w:line="360" w:lineRule="auto"/>
        <w:jc w:val="center"/>
      </w:pPr>
      <w:r>
        <w:rPr>
          <w:b/>
          <w:sz w:val="36"/>
        </w:rPr>
        <w:t>采购需求</w:t>
      </w:r>
    </w:p>
    <w:p w14:paraId="4161B415">
      <w:pPr>
        <w:spacing w:line="360" w:lineRule="auto"/>
        <w:rPr>
          <w:b/>
          <w:sz w:val="28"/>
        </w:rPr>
      </w:pPr>
      <w:r>
        <w:rPr>
          <w:b/>
          <w:sz w:val="28"/>
        </w:rPr>
        <w:t>一、项目概况：</w:t>
      </w:r>
    </w:p>
    <w:p w14:paraId="66A8455C">
      <w:pPr>
        <w:spacing w:line="360" w:lineRule="auto"/>
        <w:ind w:firstLine="420"/>
      </w:pPr>
      <w:r>
        <w:rPr>
          <w:rFonts w:hint="eastAsia"/>
        </w:rPr>
        <w:t>本次采购内容为江门市妇幼保健院</w:t>
      </w:r>
      <w:r>
        <w:rPr>
          <w:rFonts w:hint="eastAsia"/>
          <w:b/>
        </w:rPr>
        <w:t>医疗设备项目（编号YL2515）院内采购项目</w:t>
      </w:r>
      <w:r>
        <w:rPr>
          <w:rFonts w:hint="eastAsia"/>
        </w:rPr>
        <w:t>（具体详见技术要求）。</w:t>
      </w:r>
    </w:p>
    <w:p w14:paraId="11B866E7">
      <w:pPr>
        <w:spacing w:line="360" w:lineRule="auto"/>
      </w:pPr>
      <w:r>
        <w:rPr>
          <w:rFonts w:hint="eastAsia"/>
          <w:b/>
          <w:sz w:val="24"/>
        </w:rPr>
        <w:t>1-1</w:t>
      </w:r>
      <w:r>
        <w:rPr>
          <w:b/>
          <w:sz w:val="24"/>
        </w:rPr>
        <w:t>技术标准与要求</w:t>
      </w:r>
    </w:p>
    <w:tbl>
      <w:tblPr>
        <w:tblStyle w:val="8"/>
        <w:tblW w:w="85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7"/>
        <w:gridCol w:w="1701"/>
        <w:gridCol w:w="1077"/>
        <w:gridCol w:w="1077"/>
        <w:gridCol w:w="1077"/>
        <w:gridCol w:w="1077"/>
        <w:gridCol w:w="1134"/>
      </w:tblGrid>
      <w:tr w14:paraId="27A6F9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222A5FDB">
            <w:pPr>
              <w:spacing w:line="360" w:lineRule="auto"/>
              <w:jc w:val="center"/>
            </w:pPr>
            <w:r>
              <w:rPr>
                <w:rFonts w:hint="eastAsia"/>
              </w:rPr>
              <w:t>项目编号</w:t>
            </w:r>
          </w:p>
        </w:tc>
        <w:tc>
          <w:tcPr>
            <w:tcW w:w="1701" w:type="dxa"/>
            <w:vAlign w:val="center"/>
          </w:tcPr>
          <w:p w14:paraId="45A131D6">
            <w:pPr>
              <w:spacing w:line="360" w:lineRule="auto"/>
              <w:jc w:val="center"/>
            </w:pPr>
            <w:r>
              <w:rPr>
                <w:rFonts w:hint="eastAsia"/>
              </w:rPr>
              <w:t>项目</w:t>
            </w:r>
            <w:r>
              <w:t>名称</w:t>
            </w:r>
          </w:p>
        </w:tc>
        <w:tc>
          <w:tcPr>
            <w:tcW w:w="1077" w:type="dxa"/>
            <w:vAlign w:val="center"/>
          </w:tcPr>
          <w:p w14:paraId="0ACDB495">
            <w:pPr>
              <w:spacing w:line="360" w:lineRule="auto"/>
              <w:jc w:val="center"/>
            </w:pPr>
            <w:r>
              <w:t>单位</w:t>
            </w:r>
          </w:p>
        </w:tc>
        <w:tc>
          <w:tcPr>
            <w:tcW w:w="1077" w:type="dxa"/>
            <w:vAlign w:val="center"/>
          </w:tcPr>
          <w:p w14:paraId="465BE47F">
            <w:pPr>
              <w:spacing w:line="360" w:lineRule="auto"/>
              <w:jc w:val="center"/>
            </w:pPr>
            <w:r>
              <w:t>数量</w:t>
            </w:r>
          </w:p>
        </w:tc>
        <w:tc>
          <w:tcPr>
            <w:tcW w:w="1077" w:type="dxa"/>
            <w:vAlign w:val="center"/>
          </w:tcPr>
          <w:p w14:paraId="7B424CC0">
            <w:pPr>
              <w:spacing w:line="360" w:lineRule="auto"/>
              <w:jc w:val="center"/>
            </w:pPr>
            <w:r>
              <w:t>预算单价（</w:t>
            </w:r>
            <w:r>
              <w:rPr>
                <w:rFonts w:hint="eastAsia"/>
              </w:rPr>
              <w:t>万</w:t>
            </w:r>
            <w:r>
              <w:t>元）</w:t>
            </w:r>
          </w:p>
        </w:tc>
        <w:tc>
          <w:tcPr>
            <w:tcW w:w="1077" w:type="dxa"/>
            <w:vAlign w:val="center"/>
          </w:tcPr>
          <w:p w14:paraId="64E06E5F">
            <w:pPr>
              <w:spacing w:line="360" w:lineRule="auto"/>
              <w:jc w:val="center"/>
            </w:pPr>
            <w:r>
              <w:t>预算总价（</w:t>
            </w:r>
            <w:r>
              <w:rPr>
                <w:rFonts w:hint="eastAsia"/>
              </w:rPr>
              <w:t>万</w:t>
            </w:r>
            <w:r>
              <w:t>元）</w:t>
            </w:r>
          </w:p>
        </w:tc>
        <w:tc>
          <w:tcPr>
            <w:tcW w:w="1134" w:type="dxa"/>
            <w:vAlign w:val="center"/>
          </w:tcPr>
          <w:p w14:paraId="0E1CCFC1">
            <w:pPr>
              <w:spacing w:line="360" w:lineRule="auto"/>
              <w:jc w:val="center"/>
              <w:rPr>
                <w:b/>
              </w:rPr>
            </w:pPr>
            <w:r>
              <w:rPr>
                <w:b/>
              </w:rPr>
              <w:t>技术要求</w:t>
            </w:r>
          </w:p>
        </w:tc>
      </w:tr>
      <w:tr w14:paraId="02773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3EA559D0">
            <w:pPr>
              <w:jc w:val="center"/>
              <w:rPr>
                <w:rFonts w:hint="default" w:eastAsiaTheme="minorEastAsia"/>
                <w:lang w:val="en-US" w:eastAsia="zh-CN"/>
              </w:rPr>
            </w:pPr>
            <w:bookmarkStart w:id="0" w:name="_GoBack" w:colFirst="0" w:colLast="6"/>
            <w:r>
              <w:rPr>
                <w:rFonts w:hint="eastAsia"/>
              </w:rPr>
              <w:t>YL25</w:t>
            </w:r>
            <w:r>
              <w:rPr>
                <w:rFonts w:hint="eastAsia"/>
                <w:lang w:val="en-US" w:eastAsia="zh-CN"/>
              </w:rPr>
              <w:t>20</w:t>
            </w:r>
          </w:p>
        </w:tc>
        <w:tc>
          <w:tcPr>
            <w:tcW w:w="1701" w:type="dxa"/>
            <w:vAlign w:val="center"/>
          </w:tcPr>
          <w:p w14:paraId="159B7562">
            <w:pPr>
              <w:jc w:val="center"/>
            </w:pPr>
            <w:r>
              <w:rPr>
                <w:rFonts w:hint="eastAsia"/>
              </w:rPr>
              <w:t>内窥一体化清洗消毒中心设备</w:t>
            </w:r>
          </w:p>
        </w:tc>
        <w:tc>
          <w:tcPr>
            <w:tcW w:w="1077" w:type="dxa"/>
            <w:vAlign w:val="center"/>
          </w:tcPr>
          <w:p w14:paraId="5CA4A635">
            <w:pPr>
              <w:jc w:val="center"/>
            </w:pPr>
            <w:r>
              <w:rPr>
                <w:rFonts w:hint="eastAsia"/>
              </w:rPr>
              <w:t>套</w:t>
            </w:r>
          </w:p>
        </w:tc>
        <w:tc>
          <w:tcPr>
            <w:tcW w:w="1077" w:type="dxa"/>
            <w:vAlign w:val="center"/>
          </w:tcPr>
          <w:p w14:paraId="49AADAD3">
            <w:pPr>
              <w:jc w:val="center"/>
            </w:pPr>
            <w:r>
              <w:rPr>
                <w:rFonts w:hint="eastAsia"/>
              </w:rPr>
              <w:t>1</w:t>
            </w:r>
          </w:p>
        </w:tc>
        <w:tc>
          <w:tcPr>
            <w:tcW w:w="1077" w:type="dxa"/>
            <w:vAlign w:val="center"/>
          </w:tcPr>
          <w:p w14:paraId="0CFA4DFB">
            <w:pPr>
              <w:jc w:val="center"/>
            </w:pPr>
            <w:r>
              <w:rPr>
                <w:rFonts w:hint="eastAsia"/>
              </w:rPr>
              <w:t>19.8</w:t>
            </w:r>
          </w:p>
        </w:tc>
        <w:tc>
          <w:tcPr>
            <w:tcW w:w="1077" w:type="dxa"/>
            <w:vAlign w:val="center"/>
          </w:tcPr>
          <w:p w14:paraId="1A456947">
            <w:pPr>
              <w:jc w:val="center"/>
            </w:pPr>
            <w:r>
              <w:rPr>
                <w:rFonts w:hint="eastAsia"/>
              </w:rPr>
              <w:t>19.8</w:t>
            </w:r>
          </w:p>
        </w:tc>
        <w:tc>
          <w:tcPr>
            <w:tcW w:w="1134" w:type="dxa"/>
            <w:vAlign w:val="center"/>
          </w:tcPr>
          <w:p w14:paraId="68805282">
            <w:pPr>
              <w:jc w:val="center"/>
            </w:pPr>
            <w:r>
              <w:rPr>
                <w:rFonts w:hint="eastAsia"/>
              </w:rPr>
              <w:t>详见附表一</w:t>
            </w:r>
          </w:p>
        </w:tc>
      </w:tr>
      <w:bookmarkEnd w:id="0"/>
    </w:tbl>
    <w:p w14:paraId="67CE54DD">
      <w:pPr>
        <w:spacing w:line="480" w:lineRule="auto"/>
      </w:pPr>
      <w:r>
        <w:rPr>
          <w:b/>
          <w:sz w:val="24"/>
        </w:rPr>
        <w:t>附表</w:t>
      </w:r>
      <w:r>
        <w:rPr>
          <w:rFonts w:hint="eastAsia"/>
          <w:b/>
          <w:sz w:val="24"/>
        </w:rPr>
        <w:t>一</w:t>
      </w:r>
      <w:r>
        <w:rPr>
          <w:b/>
          <w:sz w:val="24"/>
        </w:rPr>
        <w:t>：</w:t>
      </w:r>
      <w:r>
        <w:t xml:space="preserve"> </w:t>
      </w:r>
    </w:p>
    <w:tbl>
      <w:tblPr>
        <w:tblStyle w:val="8"/>
        <w:tblW w:w="86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8"/>
        <w:gridCol w:w="486"/>
        <w:gridCol w:w="7500"/>
      </w:tblGrid>
      <w:tr w14:paraId="07DE7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713D96DD">
            <w:r>
              <w:t>参数性质</w:t>
            </w:r>
          </w:p>
        </w:tc>
        <w:tc>
          <w:tcPr>
            <w:tcW w:w="486" w:type="dxa"/>
          </w:tcPr>
          <w:p w14:paraId="47358E87">
            <w:r>
              <w:t>序号</w:t>
            </w:r>
          </w:p>
        </w:tc>
        <w:tc>
          <w:tcPr>
            <w:tcW w:w="7500" w:type="dxa"/>
            <w:vAlign w:val="center"/>
          </w:tcPr>
          <w:p w14:paraId="0D9558C5">
            <w:pPr>
              <w:jc w:val="center"/>
            </w:pPr>
            <w:r>
              <w:t>具体技术(参数)要求</w:t>
            </w:r>
          </w:p>
        </w:tc>
      </w:tr>
      <w:tr w14:paraId="47546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63EF7746"/>
        </w:tc>
        <w:tc>
          <w:tcPr>
            <w:tcW w:w="486" w:type="dxa"/>
          </w:tcPr>
          <w:p w14:paraId="1DE41FFD">
            <w:r>
              <w:rPr>
                <w:rFonts w:hint="eastAsia"/>
              </w:rPr>
              <w:t>1</w:t>
            </w:r>
          </w:p>
        </w:tc>
        <w:tc>
          <w:tcPr>
            <w:tcW w:w="7500" w:type="dxa"/>
          </w:tcPr>
          <w:tbl>
            <w:tblPr>
              <w:tblStyle w:val="9"/>
              <w:tblW w:w="7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Layout w:type="fixed"/>
              <w:tblCellMar>
                <w:top w:w="0" w:type="dxa"/>
                <w:left w:w="108" w:type="dxa"/>
                <w:bottom w:w="0" w:type="dxa"/>
                <w:right w:w="108" w:type="dxa"/>
              </w:tblCellMar>
            </w:tblPr>
            <w:tblGrid>
              <w:gridCol w:w="939"/>
              <w:gridCol w:w="6350"/>
            </w:tblGrid>
            <w:tr w14:paraId="1D63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c>
                <w:tcPr>
                  <w:tcW w:w="939" w:type="dxa"/>
                  <w:shd w:val="clear" w:color="auto" w:fill="FDE9D9" w:themeFill="accent6" w:themeFillTint="33"/>
                  <w:vAlign w:val="center"/>
                </w:tcPr>
                <w:p w14:paraId="56DCE318">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序号</w:t>
                  </w:r>
                </w:p>
              </w:tc>
              <w:tc>
                <w:tcPr>
                  <w:tcW w:w="6350" w:type="dxa"/>
                  <w:shd w:val="clear" w:color="auto" w:fill="FDE9D9" w:themeFill="accent6" w:themeFillTint="33"/>
                  <w:vAlign w:val="center"/>
                </w:tcPr>
                <w:p w14:paraId="7C271411">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技术和性能参数</w:t>
                  </w:r>
                  <w:r>
                    <w:rPr>
                      <w:rFonts w:hint="eastAsia" w:cs="Times New Roman" w:asciiTheme="minorEastAsia" w:hAnsiTheme="minorEastAsia" w:eastAsiaTheme="minorEastAsia"/>
                      <w:b/>
                      <w:kern w:val="0"/>
                      <w:sz w:val="22"/>
                      <w:szCs w:val="22"/>
                    </w:rPr>
                    <w:t>要求</w:t>
                  </w:r>
                </w:p>
              </w:tc>
            </w:tr>
            <w:tr w14:paraId="0E7A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74A9555B">
                  <w:pPr>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b/>
                      <w:kern w:val="0"/>
                      <w:sz w:val="24"/>
                    </w:rPr>
                    <w:t>1</w:t>
                  </w:r>
                </w:p>
              </w:tc>
              <w:tc>
                <w:tcPr>
                  <w:tcW w:w="6350" w:type="dxa"/>
                  <w:shd w:val="clear" w:color="auto" w:fill="FDE9D9" w:themeFill="accent6" w:themeFillTint="33"/>
                  <w:vAlign w:val="center"/>
                </w:tcPr>
                <w:p w14:paraId="1192BB56">
                  <w:pPr>
                    <w:spacing w:line="240" w:lineRule="atLeast"/>
                    <w:rPr>
                      <w:rFonts w:cs="Times New Roman" w:asciiTheme="minorEastAsia" w:hAnsiTheme="minorEastAsia" w:eastAsiaTheme="minorEastAsia"/>
                      <w:kern w:val="0"/>
                      <w:szCs w:val="21"/>
                    </w:rPr>
                  </w:pPr>
                  <w:r>
                    <w:rPr>
                      <w:rFonts w:hint="eastAsia" w:cs="Times New Roman" w:asciiTheme="minorEastAsia" w:hAnsiTheme="minorEastAsia" w:eastAsiaTheme="minorEastAsia"/>
                      <w:b/>
                      <w:bCs/>
                      <w:szCs w:val="21"/>
                    </w:rPr>
                    <w:t>整体设备设计、安装必须依据我院耳鼻喉内镜消毒室要求、场地情况上门实际设计、定制。</w:t>
                  </w:r>
                </w:p>
              </w:tc>
            </w:tr>
            <w:tr w14:paraId="2A16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5EA5E20A">
                  <w:pPr>
                    <w:jc w:val="center"/>
                    <w:rPr>
                      <w:rFonts w:cs="宋体" w:asciiTheme="minorEastAsia" w:hAnsiTheme="minorEastAsia" w:eastAsiaTheme="minorEastAsia"/>
                      <w:b/>
                      <w:kern w:val="0"/>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b/>
                      <w:kern w:val="0"/>
                      <w:sz w:val="24"/>
                    </w:rPr>
                    <w:t>2</w:t>
                  </w:r>
                </w:p>
              </w:tc>
              <w:tc>
                <w:tcPr>
                  <w:tcW w:w="6350" w:type="dxa"/>
                  <w:shd w:val="clear" w:color="auto" w:fill="FDE9D9" w:themeFill="accent6" w:themeFillTint="33"/>
                  <w:vAlign w:val="center"/>
                </w:tcPr>
                <w:p w14:paraId="37057E30">
                  <w:pPr>
                    <w:spacing w:line="360" w:lineRule="auto"/>
                    <w:rPr>
                      <w:rFonts w:cs="Times New Roman" w:asciiTheme="minorEastAsia" w:hAnsiTheme="minorEastAsia" w:eastAsiaTheme="minorEastAsia"/>
                      <w:szCs w:val="21"/>
                    </w:rPr>
                  </w:pPr>
                  <w:r>
                    <w:rPr>
                      <w:rFonts w:hint="eastAsia" w:cs="宋体" w:asciiTheme="minorEastAsia" w:hAnsiTheme="minorEastAsia" w:eastAsiaTheme="minorEastAsia"/>
                      <w:szCs w:val="21"/>
                    </w:rPr>
                    <w:t>含</w:t>
                  </w:r>
                  <w:r>
                    <w:rPr>
                      <w:rFonts w:hint="eastAsia" w:cs="宋体" w:asciiTheme="minorEastAsia" w:hAnsiTheme="minorEastAsia" w:eastAsiaTheme="minorEastAsia"/>
                      <w:b/>
                      <w:szCs w:val="21"/>
                    </w:rPr>
                    <w:t>纯水机、软件内镜清洗工作系统、内镜自动消毒机、软镜储存柜</w:t>
                  </w:r>
                </w:p>
              </w:tc>
            </w:tr>
            <w:tr w14:paraId="1252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89" w:type="dxa"/>
                  <w:gridSpan w:val="2"/>
                  <w:shd w:val="clear" w:color="auto" w:fill="FDE9D9" w:themeFill="accent6" w:themeFillTint="33"/>
                  <w:vAlign w:val="center"/>
                </w:tcPr>
                <w:p w14:paraId="4D505B10">
                  <w:pPr>
                    <w:spacing w:line="240" w:lineRule="atLeast"/>
                    <w:rPr>
                      <w:rFonts w:cs="Times New Roman" w:asciiTheme="minorEastAsia" w:hAnsiTheme="minorEastAsia" w:eastAsiaTheme="minorEastAsia"/>
                      <w:b/>
                      <w:kern w:val="0"/>
                      <w:szCs w:val="21"/>
                    </w:rPr>
                  </w:pPr>
                  <w:r>
                    <w:rPr>
                      <w:rFonts w:hint="eastAsia" w:cs="Times New Roman" w:asciiTheme="minorEastAsia" w:hAnsiTheme="minorEastAsia" w:eastAsiaTheme="minorEastAsia"/>
                      <w:b/>
                      <w:kern w:val="0"/>
                      <w:szCs w:val="21"/>
                    </w:rPr>
                    <w:t>纯水机</w:t>
                  </w:r>
                </w:p>
              </w:tc>
            </w:tr>
            <w:tr w14:paraId="4F94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59CEC52B">
                  <w:pPr>
                    <w:jc w:val="center"/>
                    <w:rPr>
                      <w:rFonts w:cs="Arial" w:asciiTheme="minorEastAsia" w:hAnsiTheme="minorEastAsia" w:eastAsiaTheme="minorEastAsia"/>
                      <w:sz w:val="24"/>
                    </w:rPr>
                  </w:pPr>
                  <w:r>
                    <w:rPr>
                      <w:rFonts w:hint="eastAsia" w:eastAsia="宋体" w:cs="Times New Roman" w:asciiTheme="minorEastAsia" w:hAnsiTheme="minorEastAsia"/>
                      <w:b/>
                      <w:kern w:val="0"/>
                      <w:sz w:val="20"/>
                    </w:rPr>
                    <w:t>★</w:t>
                  </w:r>
                  <w:r>
                    <w:rPr>
                      <w:rFonts w:hint="eastAsia" w:cs="Arial" w:asciiTheme="minorEastAsia" w:hAnsiTheme="minorEastAsia" w:eastAsiaTheme="minorEastAsia"/>
                      <w:sz w:val="24"/>
                    </w:rPr>
                    <w:t>3</w:t>
                  </w:r>
                </w:p>
              </w:tc>
              <w:tc>
                <w:tcPr>
                  <w:tcW w:w="6350" w:type="dxa"/>
                  <w:shd w:val="clear" w:color="auto" w:fill="FDE9D9" w:themeFill="accent6" w:themeFillTint="33"/>
                  <w:vAlign w:val="center"/>
                </w:tcPr>
                <w:p w14:paraId="1745F44D">
                  <w:pPr>
                    <w:spacing w:line="240" w:lineRule="atLeast"/>
                    <w:rPr>
                      <w:rFonts w:cs="Times New Roman" w:asciiTheme="minorEastAsia" w:hAnsiTheme="minorEastAsia" w:eastAsiaTheme="minorEastAsia"/>
                      <w:kern w:val="0"/>
                      <w:szCs w:val="21"/>
                    </w:rPr>
                  </w:pPr>
                  <w:r>
                    <w:rPr>
                      <w:rFonts w:hint="eastAsia" w:cs="Times New Roman" w:asciiTheme="minorEastAsia" w:hAnsiTheme="minorEastAsia" w:eastAsiaTheme="minorEastAsia"/>
                      <w:kern w:val="0"/>
                      <w:szCs w:val="21"/>
                    </w:rPr>
                    <w:t>产水量≥200L/H（25℃）。产水供水压力≥0.2Mpa</w:t>
                  </w:r>
                </w:p>
              </w:tc>
            </w:tr>
            <w:tr w14:paraId="0DAD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6E3D5430">
                  <w:pPr>
                    <w:jc w:val="center"/>
                    <w:rPr>
                      <w:rFonts w:cs="Arial" w:asciiTheme="minorEastAsia" w:hAnsiTheme="minorEastAsia" w:eastAsiaTheme="minorEastAsia"/>
                      <w:sz w:val="24"/>
                    </w:rPr>
                  </w:pPr>
                  <w:r>
                    <w:rPr>
                      <w:rFonts w:hint="eastAsia" w:eastAsia="宋体" w:cs="Times New Roman" w:asciiTheme="minorEastAsia" w:hAnsiTheme="minorEastAsia"/>
                      <w:b/>
                      <w:kern w:val="0"/>
                      <w:sz w:val="20"/>
                    </w:rPr>
                    <w:t>★</w:t>
                  </w:r>
                  <w:r>
                    <w:rPr>
                      <w:rFonts w:hint="eastAsia" w:cs="Arial" w:asciiTheme="minorEastAsia" w:hAnsiTheme="minorEastAsia" w:eastAsiaTheme="minorEastAsia"/>
                      <w:sz w:val="24"/>
                    </w:rPr>
                    <w:t>4</w:t>
                  </w:r>
                </w:p>
              </w:tc>
              <w:tc>
                <w:tcPr>
                  <w:tcW w:w="6350" w:type="dxa"/>
                  <w:shd w:val="clear" w:color="auto" w:fill="FDE9D9" w:themeFill="accent6" w:themeFillTint="33"/>
                  <w:vAlign w:val="center"/>
                </w:tcPr>
                <w:p w14:paraId="186615E7">
                  <w:pPr>
                    <w:spacing w:line="240" w:lineRule="atLeast"/>
                    <w:rPr>
                      <w:rFonts w:cs="Times New Roman" w:asciiTheme="minorEastAsia" w:hAnsiTheme="minorEastAsia" w:eastAsiaTheme="minorEastAsia"/>
                      <w:kern w:val="0"/>
                      <w:szCs w:val="21"/>
                    </w:rPr>
                  </w:pPr>
                  <w:r>
                    <w:rPr>
                      <w:rFonts w:hint="eastAsia" w:cs="Times New Roman" w:asciiTheme="minorEastAsia" w:hAnsiTheme="minorEastAsia" w:eastAsiaTheme="minorEastAsia"/>
                      <w:szCs w:val="21"/>
                    </w:rPr>
                    <w:t>设备生产厂家具备医疗器械生产许可证和涉水批件、高新企业、CE、ISO9001认证资质。</w:t>
                  </w:r>
                  <w:r>
                    <w:rPr>
                      <w:rFonts w:hint="eastAsia" w:cs="Times New Roman" w:asciiTheme="minorEastAsia" w:hAnsiTheme="minorEastAsia" w:eastAsiaTheme="minorEastAsia"/>
                      <w:kern w:val="0"/>
                      <w:szCs w:val="21"/>
                    </w:rPr>
                    <w:t>（提供佐证资料）</w:t>
                  </w:r>
                </w:p>
              </w:tc>
            </w:tr>
            <w:tr w14:paraId="7238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E29059B">
                  <w:pPr>
                    <w:jc w:val="center"/>
                    <w:rPr>
                      <w:rFonts w:cs="Arial" w:asciiTheme="minorEastAsia" w:hAnsiTheme="minorEastAsia" w:eastAsiaTheme="minorEastAsia"/>
                      <w:sz w:val="24"/>
                    </w:rPr>
                  </w:pPr>
                  <w:r>
                    <w:rPr>
                      <w:rFonts w:ascii="Arial" w:hAnsi="Arial" w:eastAsia="宋体" w:cs="Arial"/>
                    </w:rPr>
                    <w:t>▲</w:t>
                  </w:r>
                  <w:r>
                    <w:rPr>
                      <w:rFonts w:hint="eastAsia" w:cs="Arial" w:asciiTheme="minorEastAsia" w:hAnsiTheme="minorEastAsia" w:eastAsiaTheme="minorEastAsia"/>
                      <w:sz w:val="24"/>
                    </w:rPr>
                    <w:t>5</w:t>
                  </w:r>
                </w:p>
              </w:tc>
              <w:tc>
                <w:tcPr>
                  <w:tcW w:w="6350" w:type="dxa"/>
                  <w:shd w:val="clear" w:color="auto" w:fill="FDE9D9" w:themeFill="accent6" w:themeFillTint="33"/>
                  <w:vAlign w:val="center"/>
                </w:tcPr>
                <w:p w14:paraId="4647B409">
                  <w:pPr>
                    <w:spacing w:line="240" w:lineRule="atLeast"/>
                    <w:rPr>
                      <w:rFonts w:cs="Times New Roman" w:asciiTheme="minorEastAsia" w:hAnsiTheme="minorEastAsia" w:eastAsiaTheme="minorEastAsia"/>
                      <w:kern w:val="0"/>
                      <w:szCs w:val="21"/>
                    </w:rPr>
                  </w:pPr>
                  <w:r>
                    <w:rPr>
                      <w:rFonts w:hint="eastAsia" w:cs="Times New Roman" w:asciiTheme="minorEastAsia" w:hAnsiTheme="minorEastAsia" w:eastAsiaTheme="minorEastAsia"/>
                      <w:szCs w:val="21"/>
                    </w:rPr>
                    <w:t>纯水供水管道为循环管路，带全自动无人消毒系统，具备全自动消毒及杀菌控制程序，并可设定消毒程序参数，消毒为全自动消毒，无需人员操作。管路设计无死角。</w:t>
                  </w:r>
                </w:p>
              </w:tc>
            </w:tr>
            <w:tr w14:paraId="34281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176BAB04">
                  <w:pPr>
                    <w:jc w:val="center"/>
                    <w:rPr>
                      <w:rFonts w:cs="Arial" w:asciiTheme="minorEastAsia" w:hAnsiTheme="minorEastAsia" w:eastAsiaTheme="minorEastAsia"/>
                      <w:sz w:val="24"/>
                    </w:rPr>
                  </w:pPr>
                  <w:r>
                    <w:rPr>
                      <w:rFonts w:ascii="Arial" w:hAnsi="Arial" w:eastAsia="宋体" w:cs="Arial"/>
                    </w:rPr>
                    <w:t>▲</w:t>
                  </w:r>
                  <w:r>
                    <w:rPr>
                      <w:rFonts w:hint="eastAsia" w:cs="Arial" w:asciiTheme="minorEastAsia" w:hAnsiTheme="minorEastAsia" w:eastAsiaTheme="minorEastAsia"/>
                      <w:sz w:val="24"/>
                    </w:rPr>
                    <w:t>6</w:t>
                  </w:r>
                </w:p>
              </w:tc>
              <w:tc>
                <w:tcPr>
                  <w:tcW w:w="6350" w:type="dxa"/>
                  <w:shd w:val="clear" w:color="auto" w:fill="FDE9D9" w:themeFill="accent6" w:themeFillTint="33"/>
                  <w:vAlign w:val="center"/>
                </w:tcPr>
                <w:p w14:paraId="3233B6AD">
                  <w:pPr>
                    <w:spacing w:line="240" w:lineRule="atLeast"/>
                    <w:rPr>
                      <w:rFonts w:cs="Times New Roman" w:asciiTheme="minorEastAsia" w:hAnsiTheme="minorEastAsia" w:eastAsiaTheme="minorEastAsia"/>
                      <w:kern w:val="0"/>
                      <w:szCs w:val="21"/>
                    </w:rPr>
                  </w:pPr>
                  <w:r>
                    <w:rPr>
                      <w:rFonts w:hint="eastAsia" w:cs="Times New Roman" w:asciiTheme="minorEastAsia" w:hAnsiTheme="minorEastAsia" w:eastAsiaTheme="minorEastAsia"/>
                      <w:szCs w:val="21"/>
                    </w:rPr>
                    <w:t>采用主机、预处理和纯水箱一体化设计，占地面积越小越好。</w:t>
                  </w:r>
                </w:p>
              </w:tc>
            </w:tr>
            <w:tr w14:paraId="5CAA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89" w:type="dxa"/>
                  <w:gridSpan w:val="2"/>
                  <w:shd w:val="clear" w:color="auto" w:fill="FDE9D9" w:themeFill="accent6" w:themeFillTint="33"/>
                  <w:vAlign w:val="center"/>
                </w:tcPr>
                <w:p w14:paraId="1A1D6B3E">
                  <w:pPr>
                    <w:spacing w:line="240" w:lineRule="atLeast"/>
                    <w:rPr>
                      <w:rFonts w:hint="eastAsia" w:cs="宋体" w:asciiTheme="minorEastAsia" w:hAnsiTheme="minorEastAsia" w:eastAsiaTheme="minorEastAsia"/>
                      <w:color w:val="000000"/>
                      <w:kern w:val="0"/>
                      <w:szCs w:val="21"/>
                      <w:lang w:bidi="ar"/>
                    </w:rPr>
                  </w:pPr>
                  <w:r>
                    <w:rPr>
                      <w:rFonts w:hint="eastAsia" w:cs="Times New Roman" w:asciiTheme="minorEastAsia" w:hAnsiTheme="minorEastAsia" w:eastAsiaTheme="minorEastAsia"/>
                      <w:b/>
                      <w:bCs/>
                      <w:szCs w:val="21"/>
                    </w:rPr>
                    <w:t>软件内镜清洗工作系统</w:t>
                  </w:r>
                </w:p>
              </w:tc>
            </w:tr>
            <w:tr w14:paraId="6F8E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3EECAD00">
                  <w:pPr>
                    <w:jc w:val="center"/>
                    <w:rPr>
                      <w:rFonts w:hint="eastAsia" w:eastAsia="宋体" w:cs="Arial" w:asciiTheme="minorEastAsia" w:hAnsiTheme="minorEastAsia"/>
                      <w:sz w:val="24"/>
                    </w:rPr>
                  </w:pPr>
                  <w:r>
                    <w:rPr>
                      <w:rFonts w:hint="eastAsia" w:eastAsia="宋体" w:cs="Times New Roman" w:asciiTheme="minorEastAsia" w:hAnsiTheme="minorEastAsia"/>
                      <w:b/>
                      <w:kern w:val="0"/>
                      <w:sz w:val="20"/>
                    </w:rPr>
                    <w:t>★</w:t>
                  </w:r>
                  <w:r>
                    <w:rPr>
                      <w:rFonts w:hint="eastAsia" w:eastAsia="宋体" w:cs="Arial" w:asciiTheme="minorEastAsia" w:hAnsiTheme="minorEastAsia"/>
                      <w:sz w:val="24"/>
                    </w:rPr>
                    <w:t>7</w:t>
                  </w:r>
                </w:p>
              </w:tc>
              <w:tc>
                <w:tcPr>
                  <w:tcW w:w="6350" w:type="dxa"/>
                  <w:shd w:val="clear" w:color="auto" w:fill="FDE9D9" w:themeFill="accent6" w:themeFillTint="33"/>
                  <w:vAlign w:val="center"/>
                </w:tcPr>
                <w:p w14:paraId="05919801">
                  <w:pPr>
                    <w:spacing w:line="360" w:lineRule="auto"/>
                    <w:rPr>
                      <w:rFonts w:cs="Times New Roman" w:asciiTheme="minorEastAsia" w:hAnsiTheme="minorEastAsia" w:eastAsiaTheme="minorEastAsia"/>
                      <w:szCs w:val="21"/>
                    </w:rPr>
                  </w:pPr>
                  <w:r>
                    <w:rPr>
                      <w:rFonts w:hint="eastAsia" w:cs="Times New Roman" w:asciiTheme="minorEastAsia" w:hAnsiTheme="minorEastAsia" w:eastAsiaTheme="minorEastAsia"/>
                      <w:color w:val="000000" w:themeColor="text1"/>
                      <w:szCs w:val="21"/>
                      <w14:textFill>
                        <w14:solidFill>
                          <w14:schemeClr w14:val="tx1"/>
                        </w14:solidFill>
                      </w14:textFill>
                    </w:rPr>
                    <w:t>清洗工作站复合板主材耐酸碱腐蚀。提供复合板耐化学试剂1%NaOH溶液和 5%H2SO4溶液腐蚀的国家认可的检测报告。</w:t>
                  </w:r>
                </w:p>
              </w:tc>
            </w:tr>
            <w:tr w14:paraId="41E8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177E8DE5">
                  <w:pPr>
                    <w:jc w:val="center"/>
                    <w:rPr>
                      <w:rFonts w:hint="eastAsia" w:eastAsia="宋体" w:cs="Arial" w:asciiTheme="minorEastAsia" w:hAnsiTheme="minorEastAsia"/>
                      <w:sz w:val="24"/>
                    </w:rPr>
                  </w:pPr>
                  <w:r>
                    <w:rPr>
                      <w:rFonts w:hint="eastAsia" w:eastAsia="宋体" w:cs="Times New Roman" w:asciiTheme="minorEastAsia" w:hAnsiTheme="minorEastAsia"/>
                      <w:b/>
                      <w:kern w:val="0"/>
                      <w:sz w:val="20"/>
                    </w:rPr>
                    <w:t>★</w:t>
                  </w:r>
                  <w:r>
                    <w:rPr>
                      <w:rFonts w:hint="eastAsia" w:eastAsia="宋体" w:cs="Arial" w:asciiTheme="minorEastAsia" w:hAnsiTheme="minorEastAsia"/>
                      <w:sz w:val="24"/>
                    </w:rPr>
                    <w:t>8</w:t>
                  </w:r>
                </w:p>
              </w:tc>
              <w:tc>
                <w:tcPr>
                  <w:tcW w:w="6350" w:type="dxa"/>
                  <w:shd w:val="clear" w:color="auto" w:fill="FDE9D9" w:themeFill="accent6" w:themeFillTint="33"/>
                  <w:vAlign w:val="center"/>
                </w:tcPr>
                <w:p w14:paraId="4201F81B">
                  <w:pPr>
                    <w:spacing w:line="360" w:lineRule="auto"/>
                    <w:rPr>
                      <w:rFonts w:cs="Times New Roman"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台面可承重≥90Kg以上（</w:t>
                  </w:r>
                  <w:r>
                    <w:rPr>
                      <w:rFonts w:hint="eastAsia" w:ascii="Times New Roman" w:hAnsi="Times New Roman" w:eastAsia="宋体" w:cs="Times New Roman"/>
                      <w:color w:val="000000" w:themeColor="text1"/>
                      <w14:textFill>
                        <w14:solidFill>
                          <w14:schemeClr w14:val="tx1"/>
                        </w14:solidFill>
                      </w14:textFill>
                    </w:rPr>
                    <w:t>提供国家认可的检测报告</w:t>
                  </w:r>
                  <w:r>
                    <w:rPr>
                      <w:rFonts w:hint="eastAsia" w:ascii="宋体" w:hAnsi="宋体" w:eastAsia="宋体" w:cs="Times New Roman"/>
                      <w:color w:val="000000" w:themeColor="text1"/>
                      <w:szCs w:val="21"/>
                      <w14:textFill>
                        <w14:solidFill>
                          <w14:schemeClr w14:val="tx1"/>
                        </w14:solidFill>
                      </w14:textFill>
                    </w:rPr>
                    <w:t>。</w:t>
                  </w:r>
                  <w:r>
                    <w:rPr>
                      <w:rFonts w:hint="eastAsia" w:cs="宋体" w:asciiTheme="minorEastAsia" w:hAnsiTheme="minorEastAsia" w:eastAsiaTheme="minorEastAsia"/>
                      <w:color w:val="000000" w:themeColor="text1"/>
                      <w:szCs w:val="21"/>
                      <w14:textFill>
                        <w14:solidFill>
                          <w14:schemeClr w14:val="tx1"/>
                        </w14:solidFill>
                      </w14:textFill>
                    </w:rPr>
                    <w:t>）</w:t>
                  </w:r>
                </w:p>
              </w:tc>
            </w:tr>
            <w:tr w14:paraId="0E70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481CD732">
                  <w:pPr>
                    <w:jc w:val="center"/>
                    <w:rPr>
                      <w:rFonts w:hint="eastAsia" w:eastAsia="宋体" w:cs="Arial" w:asciiTheme="minorEastAsia" w:hAnsiTheme="minorEastAsia"/>
                      <w:sz w:val="24"/>
                    </w:rPr>
                  </w:pPr>
                  <w:r>
                    <w:rPr>
                      <w:rFonts w:hint="eastAsia" w:eastAsia="宋体" w:cs="Times New Roman" w:asciiTheme="minorEastAsia" w:hAnsiTheme="minorEastAsia"/>
                      <w:b/>
                      <w:kern w:val="0"/>
                      <w:sz w:val="20"/>
                    </w:rPr>
                    <w:t>★</w:t>
                  </w:r>
                  <w:r>
                    <w:rPr>
                      <w:rFonts w:hint="eastAsia" w:eastAsia="宋体" w:cs="Arial" w:asciiTheme="minorEastAsia" w:hAnsiTheme="minorEastAsia"/>
                      <w:sz w:val="24"/>
                    </w:rPr>
                    <w:t>9</w:t>
                  </w:r>
                </w:p>
              </w:tc>
              <w:tc>
                <w:tcPr>
                  <w:tcW w:w="6350" w:type="dxa"/>
                  <w:shd w:val="clear" w:color="auto" w:fill="FDE9D9" w:themeFill="accent6" w:themeFillTint="33"/>
                  <w:vAlign w:val="center"/>
                </w:tcPr>
                <w:p w14:paraId="791249FB">
                  <w:pPr>
                    <w:spacing w:line="360" w:lineRule="auto"/>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分槽体与台面</w:t>
                  </w:r>
                </w:p>
              </w:tc>
            </w:tr>
            <w:tr w14:paraId="085AD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0BAEFCCB">
                  <w:pPr>
                    <w:jc w:val="center"/>
                    <w:rPr>
                      <w:rFonts w:hint="eastAsia" w:eastAsia="宋体" w:cs="Arial" w:asciiTheme="minorEastAsia" w:hAnsiTheme="minorEastAsia"/>
                      <w:sz w:val="24"/>
                    </w:rPr>
                  </w:pPr>
                  <w:r>
                    <w:rPr>
                      <w:rFonts w:hint="eastAsia" w:eastAsia="宋体" w:cs="Times New Roman" w:asciiTheme="minorEastAsia" w:hAnsiTheme="minorEastAsia"/>
                      <w:b/>
                      <w:kern w:val="0"/>
                      <w:sz w:val="20"/>
                    </w:rPr>
                    <w:t>★</w:t>
                  </w:r>
                  <w:r>
                    <w:rPr>
                      <w:rFonts w:hint="eastAsia" w:eastAsia="宋体" w:cs="Arial" w:asciiTheme="minorEastAsia" w:hAnsiTheme="minorEastAsia"/>
                      <w:sz w:val="24"/>
                    </w:rPr>
                    <w:t>10</w:t>
                  </w:r>
                </w:p>
              </w:tc>
              <w:tc>
                <w:tcPr>
                  <w:tcW w:w="6350" w:type="dxa"/>
                  <w:shd w:val="clear" w:color="auto" w:fill="FDE9D9" w:themeFill="accent6" w:themeFillTint="33"/>
                  <w:vAlign w:val="center"/>
                </w:tcPr>
                <w:p w14:paraId="3A86C7D0">
                  <w:pPr>
                    <w:spacing w:line="360" w:lineRule="auto"/>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清洗槽控制器采用防水触摸按键，显示屏≥8英寸，显示清晰直观</w:t>
                  </w:r>
                </w:p>
              </w:tc>
            </w:tr>
            <w:tr w14:paraId="72D5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6874FFF8">
                  <w:pPr>
                    <w:jc w:val="center"/>
                    <w:rPr>
                      <w:rFonts w:hint="eastAsia" w:eastAsia="宋体" w:cs="Arial" w:asciiTheme="minorEastAsia" w:hAnsiTheme="minorEastAsia"/>
                      <w:sz w:val="24"/>
                    </w:rPr>
                  </w:pPr>
                  <w:r>
                    <w:rPr>
                      <w:rFonts w:hint="eastAsia" w:eastAsia="宋体" w:cs="Times New Roman" w:asciiTheme="minorEastAsia" w:hAnsiTheme="minorEastAsia"/>
                      <w:b/>
                      <w:kern w:val="0"/>
                      <w:sz w:val="20"/>
                    </w:rPr>
                    <w:t>★</w:t>
                  </w:r>
                  <w:r>
                    <w:rPr>
                      <w:rFonts w:hint="eastAsia" w:eastAsia="宋体" w:cs="Arial" w:asciiTheme="minorEastAsia" w:hAnsiTheme="minorEastAsia"/>
                      <w:sz w:val="24"/>
                    </w:rPr>
                    <w:t>11</w:t>
                  </w:r>
                </w:p>
              </w:tc>
              <w:tc>
                <w:tcPr>
                  <w:tcW w:w="6350" w:type="dxa"/>
                  <w:shd w:val="clear" w:color="auto" w:fill="FDE9D9" w:themeFill="accent6" w:themeFillTint="33"/>
                  <w:vAlign w:val="center"/>
                </w:tcPr>
                <w:p w14:paraId="3A385D7F">
                  <w:pPr>
                    <w:spacing w:line="360" w:lineRule="auto"/>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清洗系统必须带人工清洗系统及自动清洗系统各一套。</w:t>
                  </w:r>
                </w:p>
              </w:tc>
            </w:tr>
            <w:tr w14:paraId="5D98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436C1C82">
                  <w:pPr>
                    <w:jc w:val="center"/>
                    <w:rPr>
                      <w:rFonts w:hint="eastAsia" w:eastAsia="宋体" w:cs="Arial" w:asciiTheme="minorEastAsia" w:hAnsiTheme="minorEastAsia"/>
                      <w:sz w:val="24"/>
                    </w:rPr>
                  </w:pPr>
                  <w:r>
                    <w:rPr>
                      <w:rFonts w:ascii="Arial" w:hAnsi="Arial" w:eastAsia="宋体" w:cs="Arial"/>
                    </w:rPr>
                    <w:t>▲</w:t>
                  </w:r>
                  <w:r>
                    <w:rPr>
                      <w:rFonts w:hint="eastAsia" w:eastAsia="宋体" w:cs="Arial" w:asciiTheme="minorEastAsia" w:hAnsiTheme="minorEastAsia"/>
                      <w:sz w:val="24"/>
                    </w:rPr>
                    <w:t>12</w:t>
                  </w:r>
                </w:p>
              </w:tc>
              <w:tc>
                <w:tcPr>
                  <w:tcW w:w="6350" w:type="dxa"/>
                  <w:shd w:val="clear" w:color="auto" w:fill="FDE9D9" w:themeFill="accent6" w:themeFillTint="33"/>
                  <w:vAlign w:val="center"/>
                </w:tcPr>
                <w:p w14:paraId="00D15ED2">
                  <w:pPr>
                    <w:spacing w:line="360" w:lineRule="auto"/>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注水装置：当供水压力为0.2MPa～0.3MPa时，注水流量≥3.5L/min。</w:t>
                  </w:r>
                </w:p>
              </w:tc>
            </w:tr>
            <w:tr w14:paraId="39C5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3AF9E41E">
                  <w:pPr>
                    <w:jc w:val="center"/>
                    <w:rPr>
                      <w:rFonts w:hint="eastAsia" w:eastAsia="宋体" w:cs="Arial" w:asciiTheme="minorEastAsia" w:hAnsiTheme="minorEastAsia"/>
                      <w:sz w:val="24"/>
                    </w:rPr>
                  </w:pPr>
                  <w:r>
                    <w:rPr>
                      <w:rFonts w:ascii="Arial" w:hAnsi="Arial" w:eastAsia="宋体" w:cs="Arial"/>
                    </w:rPr>
                    <w:t>▲</w:t>
                  </w:r>
                  <w:r>
                    <w:rPr>
                      <w:rFonts w:hint="eastAsia" w:eastAsia="宋体" w:cs="Arial" w:asciiTheme="minorEastAsia" w:hAnsiTheme="minorEastAsia"/>
                      <w:sz w:val="24"/>
                    </w:rPr>
                    <w:t>13</w:t>
                  </w:r>
                </w:p>
              </w:tc>
              <w:tc>
                <w:tcPr>
                  <w:tcW w:w="6350" w:type="dxa"/>
                  <w:shd w:val="clear" w:color="auto" w:fill="FDE9D9" w:themeFill="accent6" w:themeFillTint="33"/>
                  <w:vAlign w:val="center"/>
                </w:tcPr>
                <w:p w14:paraId="6EE3319E">
                  <w:pPr>
                    <w:spacing w:line="360" w:lineRule="auto"/>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回收箱容量</w:t>
                  </w:r>
                  <w:r>
                    <w:rPr>
                      <w:rFonts w:cs="宋体" w:asciiTheme="minorEastAsia" w:hAnsiTheme="minorEastAsia" w:eastAsiaTheme="minorEastAsia"/>
                      <w:color w:val="000000" w:themeColor="text1"/>
                      <w:szCs w:val="21"/>
                      <w14:textFill>
                        <w14:solidFill>
                          <w14:schemeClr w14:val="tx1"/>
                        </w14:solidFill>
                      </w14:textFill>
                    </w:rPr>
                    <w:t>≥</w:t>
                  </w:r>
                  <w:r>
                    <w:rPr>
                      <w:rFonts w:hint="eastAsia" w:cs="宋体" w:asciiTheme="minorEastAsia" w:hAnsiTheme="minorEastAsia" w:eastAsiaTheme="minorEastAsia"/>
                      <w:color w:val="000000" w:themeColor="text1"/>
                      <w:szCs w:val="21"/>
                      <w14:textFill>
                        <w14:solidFill>
                          <w14:schemeClr w14:val="tx1"/>
                        </w14:solidFill>
                      </w14:textFill>
                    </w:rPr>
                    <w:t>30L</w:t>
                  </w:r>
                </w:p>
              </w:tc>
            </w:tr>
            <w:tr w14:paraId="4E13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5126C94A">
                  <w:pPr>
                    <w:jc w:val="center"/>
                    <w:rPr>
                      <w:rFonts w:hint="eastAsia" w:eastAsia="宋体" w:cs="Arial" w:asciiTheme="minorEastAsia" w:hAnsiTheme="minorEastAsia"/>
                      <w:sz w:val="24"/>
                    </w:rPr>
                  </w:pPr>
                  <w:r>
                    <w:rPr>
                      <w:rFonts w:ascii="Arial" w:hAnsi="Arial" w:eastAsia="宋体" w:cs="Arial"/>
                    </w:rPr>
                    <w:t>▲</w:t>
                  </w:r>
                  <w:r>
                    <w:rPr>
                      <w:rFonts w:hint="eastAsia" w:eastAsia="宋体" w:cs="Arial" w:asciiTheme="minorEastAsia" w:hAnsiTheme="minorEastAsia"/>
                      <w:sz w:val="24"/>
                    </w:rPr>
                    <w:t>14</w:t>
                  </w:r>
                </w:p>
              </w:tc>
              <w:tc>
                <w:tcPr>
                  <w:tcW w:w="6350" w:type="dxa"/>
                  <w:shd w:val="clear" w:color="auto" w:fill="FDE9D9" w:themeFill="accent6" w:themeFillTint="33"/>
                  <w:vAlign w:val="center"/>
                </w:tcPr>
                <w:p w14:paraId="29CDD7FD">
                  <w:pPr>
                    <w:spacing w:line="360" w:lineRule="auto"/>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中心气体处理器气压调节范围：0</w:t>
                  </w:r>
                  <w:r>
                    <w:rPr>
                      <w:rFonts w:cs="宋体" w:asciiTheme="minorEastAsia" w:hAnsiTheme="minorEastAsia" w:eastAsiaTheme="minorEastAsia"/>
                      <w:color w:val="000000" w:themeColor="text1"/>
                      <w:szCs w:val="21"/>
                      <w14:textFill>
                        <w14:solidFill>
                          <w14:schemeClr w14:val="tx1"/>
                        </w14:solidFill>
                      </w14:textFill>
                    </w:rPr>
                    <w:t>.05</w:t>
                  </w:r>
                  <w:r>
                    <w:rPr>
                      <w:rFonts w:hint="eastAsia" w:cs="宋体" w:asciiTheme="minorEastAsia" w:hAnsiTheme="minorEastAsia" w:eastAsiaTheme="minorEastAsia"/>
                      <w:color w:val="000000" w:themeColor="text1"/>
                      <w:szCs w:val="21"/>
                      <w14:textFill>
                        <w14:solidFill>
                          <w14:schemeClr w14:val="tx1"/>
                        </w14:solidFill>
                      </w14:textFill>
                    </w:rPr>
                    <w:t xml:space="preserve"> Mpa～0.</w:t>
                  </w:r>
                  <w:r>
                    <w:rPr>
                      <w:rFonts w:cs="宋体" w:asciiTheme="minorEastAsia" w:hAnsiTheme="minorEastAsia" w:eastAsiaTheme="minorEastAsia"/>
                      <w:color w:val="000000" w:themeColor="text1"/>
                      <w:szCs w:val="21"/>
                      <w14:textFill>
                        <w14:solidFill>
                          <w14:schemeClr w14:val="tx1"/>
                        </w14:solidFill>
                      </w14:textFill>
                    </w:rPr>
                    <w:t>8</w:t>
                  </w:r>
                  <w:r>
                    <w:rPr>
                      <w:rFonts w:hint="eastAsia" w:cs="宋体" w:asciiTheme="minorEastAsia" w:hAnsiTheme="minorEastAsia" w:eastAsiaTheme="minorEastAsia"/>
                      <w:color w:val="000000" w:themeColor="text1"/>
                      <w:szCs w:val="21"/>
                      <w14:textFill>
                        <w14:solidFill>
                          <w14:schemeClr w14:val="tx1"/>
                        </w14:solidFill>
                      </w14:textFill>
                    </w:rPr>
                    <w:t>0Mpa，压力表显示精度≤0.02Mpa。</w:t>
                  </w:r>
                </w:p>
              </w:tc>
            </w:tr>
            <w:tr w14:paraId="59E2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142B462">
                  <w:pPr>
                    <w:jc w:val="center"/>
                    <w:rPr>
                      <w:rFonts w:hint="eastAsia" w:eastAsia="宋体" w:cs="Arial" w:asciiTheme="minorEastAsia" w:hAnsiTheme="minorEastAsia"/>
                      <w:sz w:val="24"/>
                    </w:rPr>
                  </w:pPr>
                  <w:r>
                    <w:rPr>
                      <w:rFonts w:ascii="Arial" w:hAnsi="Arial" w:eastAsia="宋体" w:cs="Arial"/>
                    </w:rPr>
                    <w:t>▲</w:t>
                  </w:r>
                  <w:r>
                    <w:rPr>
                      <w:rFonts w:hint="eastAsia" w:eastAsia="宋体" w:cs="Arial" w:asciiTheme="minorEastAsia" w:hAnsiTheme="minorEastAsia"/>
                      <w:sz w:val="24"/>
                    </w:rPr>
                    <w:t>15</w:t>
                  </w:r>
                </w:p>
              </w:tc>
              <w:tc>
                <w:tcPr>
                  <w:tcW w:w="6350" w:type="dxa"/>
                  <w:shd w:val="clear" w:color="auto" w:fill="FDE9D9" w:themeFill="accent6" w:themeFillTint="33"/>
                  <w:vAlign w:val="center"/>
                </w:tcPr>
                <w:p w14:paraId="0480A2AD">
                  <w:pPr>
                    <w:spacing w:line="360" w:lineRule="auto"/>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工作站洗消追溯系统具有：</w:t>
                  </w:r>
                  <w:r>
                    <w:rPr>
                      <w:rFonts w:hint="eastAsia" w:cs="Times New Roman" w:asciiTheme="minorEastAsia" w:hAnsiTheme="minorEastAsia" w:eastAsiaTheme="minorEastAsia"/>
                      <w:color w:val="000000" w:themeColor="text1"/>
                      <w:szCs w:val="21"/>
                      <w14:textFill>
                        <w14:solidFill>
                          <w14:schemeClr w14:val="tx1"/>
                        </w14:solidFill>
                      </w14:textFill>
                    </w:rPr>
                    <w:t>质控预警功能、可对消毒剂检测结果、水质检测结果进行拍照上传记录管理、</w:t>
                  </w:r>
                  <w:r>
                    <w:rPr>
                      <w:rFonts w:hint="eastAsia" w:cs="宋体" w:asciiTheme="minorEastAsia" w:hAnsiTheme="minorEastAsia" w:eastAsiaTheme="minorEastAsia"/>
                      <w:color w:val="000000" w:themeColor="text1"/>
                      <w:szCs w:val="21"/>
                      <w14:textFill>
                        <w14:solidFill>
                          <w14:schemeClr w14:val="tx1"/>
                        </w14:solidFill>
                      </w14:textFill>
                    </w:rPr>
                    <w:t>可统计清洗工作站的累计洗消数量、人均洗消次数、洗消平均耗时、洗消人员绩效等数据。</w:t>
                  </w:r>
                </w:p>
              </w:tc>
            </w:tr>
            <w:tr w14:paraId="4441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11C31DA8">
                  <w:pPr>
                    <w:jc w:val="center"/>
                    <w:rPr>
                      <w:rFonts w:hint="eastAsia" w:eastAsia="宋体" w:cs="Arial" w:asciiTheme="minorEastAsia" w:hAnsiTheme="minorEastAsia"/>
                      <w:sz w:val="24"/>
                    </w:rPr>
                  </w:pPr>
                  <w:r>
                    <w:rPr>
                      <w:rFonts w:ascii="Arial" w:hAnsi="Arial" w:eastAsia="宋体" w:cs="Arial"/>
                    </w:rPr>
                    <w:t>▲</w:t>
                  </w:r>
                  <w:r>
                    <w:rPr>
                      <w:rFonts w:hint="eastAsia" w:eastAsia="宋体" w:cs="Arial" w:asciiTheme="minorEastAsia" w:hAnsiTheme="minorEastAsia"/>
                      <w:sz w:val="24"/>
                    </w:rPr>
                    <w:t>16</w:t>
                  </w:r>
                </w:p>
              </w:tc>
              <w:tc>
                <w:tcPr>
                  <w:tcW w:w="6350" w:type="dxa"/>
                  <w:shd w:val="clear" w:color="auto" w:fill="FDE9D9" w:themeFill="accent6" w:themeFillTint="33"/>
                  <w:vAlign w:val="center"/>
                </w:tcPr>
                <w:p w14:paraId="51FD1A54">
                  <w:pPr>
                    <w:spacing w:line="360" w:lineRule="auto"/>
                    <w:rPr>
                      <w:rFonts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排污型水处理器过滤精度0.01μm，水处理量：≥280L/h。可选配</w:t>
                  </w:r>
                  <w:r>
                    <w:rPr>
                      <w:rFonts w:hint="eastAsia" w:cs="宋体" w:asciiTheme="minorEastAsia" w:hAnsiTheme="minorEastAsia" w:eastAsiaTheme="minorEastAsia"/>
                      <w:color w:val="000000" w:themeColor="text1"/>
                      <w:szCs w:val="21"/>
                      <w14:textFill>
                        <w14:solidFill>
                          <w14:schemeClr w14:val="tx1"/>
                        </w14:solidFill>
                      </w14:textFill>
                    </w:rPr>
                    <w:t>除菌型水处理器</w:t>
                  </w:r>
                </w:p>
              </w:tc>
            </w:tr>
            <w:tr w14:paraId="4D71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14E37CB5">
                  <w:pPr>
                    <w:jc w:val="center"/>
                    <w:rPr>
                      <w:rFonts w:hint="eastAsia" w:eastAsia="宋体" w:cs="Arial" w:asciiTheme="minorEastAsia" w:hAnsiTheme="minorEastAsia"/>
                      <w:sz w:val="24"/>
                    </w:rPr>
                  </w:pPr>
                  <w:r>
                    <w:rPr>
                      <w:rFonts w:ascii="Arial" w:hAnsi="Arial" w:eastAsia="宋体" w:cs="Arial"/>
                    </w:rPr>
                    <w:t>▲</w:t>
                  </w:r>
                  <w:r>
                    <w:rPr>
                      <w:rFonts w:hint="eastAsia" w:eastAsia="宋体" w:cs="Arial" w:asciiTheme="minorEastAsia" w:hAnsiTheme="minorEastAsia"/>
                      <w:sz w:val="24"/>
                    </w:rPr>
                    <w:t>17</w:t>
                  </w:r>
                </w:p>
              </w:tc>
              <w:tc>
                <w:tcPr>
                  <w:tcW w:w="6350" w:type="dxa"/>
                  <w:shd w:val="clear" w:color="auto" w:fill="FDE9D9" w:themeFill="accent6" w:themeFillTint="33"/>
                  <w:vAlign w:val="center"/>
                </w:tcPr>
                <w:p w14:paraId="4BE958C4">
                  <w:pPr>
                    <w:spacing w:line="360" w:lineRule="auto"/>
                    <w:rPr>
                      <w:rFonts w:cs="Times New Roman"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集成空气压缩机、气体处理及气体过滤功能于一身，为设备提供高质量洁净气源。细菌检测数≤10CFU/m³，悬浮含油量＜0.1mg/m³。</w:t>
                  </w:r>
                </w:p>
              </w:tc>
            </w:tr>
            <w:tr w14:paraId="4E40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89" w:type="dxa"/>
                  <w:gridSpan w:val="2"/>
                  <w:shd w:val="clear" w:color="auto" w:fill="FDE9D9" w:themeFill="accent6" w:themeFillTint="33"/>
                  <w:vAlign w:val="center"/>
                </w:tcPr>
                <w:p w14:paraId="6A31FBBA">
                  <w:pPr>
                    <w:spacing w:line="360" w:lineRule="auto"/>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内镜自动消毒机</w:t>
                  </w:r>
                </w:p>
              </w:tc>
            </w:tr>
            <w:tr w14:paraId="1FA6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54B40B1F">
                  <w:pPr>
                    <w:jc w:val="center"/>
                    <w:rPr>
                      <w:rFonts w:hint="eastAsia" w:eastAsia="宋体" w:cs="Arial" w:asciiTheme="minorEastAsia" w:hAnsiTheme="minorEastAsia"/>
                      <w:sz w:val="24"/>
                    </w:rPr>
                  </w:pPr>
                  <w:r>
                    <w:rPr>
                      <w:rFonts w:hint="eastAsia" w:eastAsia="宋体" w:cs="Times New Roman" w:asciiTheme="minorEastAsia" w:hAnsiTheme="minorEastAsia"/>
                      <w:b/>
                      <w:kern w:val="0"/>
                      <w:sz w:val="20"/>
                    </w:rPr>
                    <w:t>★</w:t>
                  </w:r>
                  <w:r>
                    <w:rPr>
                      <w:rFonts w:hint="eastAsia" w:eastAsia="宋体" w:cs="Arial" w:asciiTheme="minorEastAsia" w:hAnsiTheme="minorEastAsia"/>
                      <w:sz w:val="24"/>
                    </w:rPr>
                    <w:t>18</w:t>
                  </w:r>
                </w:p>
              </w:tc>
              <w:tc>
                <w:tcPr>
                  <w:tcW w:w="6350" w:type="dxa"/>
                  <w:shd w:val="clear" w:color="auto" w:fill="FDE9D9" w:themeFill="accent6" w:themeFillTint="33"/>
                  <w:vAlign w:val="center"/>
                </w:tcPr>
                <w:p w14:paraId="42517310">
                  <w:pPr>
                    <w:spacing w:line="360" w:lineRule="auto"/>
                    <w:rPr>
                      <w:rFonts w:cs="宋体"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szCs w:val="21"/>
                    </w:rPr>
                    <w:t>采用全浸泡消毒，非喷淋式洗消设计，消毒液能浸泡到消毒槽盖内表面。</w:t>
                  </w:r>
                </w:p>
              </w:tc>
            </w:tr>
            <w:tr w14:paraId="16A2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AF589A9">
                  <w:pPr>
                    <w:jc w:val="center"/>
                    <w:rPr>
                      <w:rFonts w:hint="eastAsia" w:eastAsia="宋体" w:cs="Arial" w:asciiTheme="minorEastAsia" w:hAnsiTheme="minorEastAsia"/>
                      <w:sz w:val="24"/>
                    </w:rPr>
                  </w:pPr>
                  <w:r>
                    <w:rPr>
                      <w:rFonts w:hint="eastAsia" w:eastAsia="宋体" w:cs="Times New Roman" w:asciiTheme="minorEastAsia" w:hAnsiTheme="minorEastAsia"/>
                      <w:b/>
                      <w:kern w:val="0"/>
                      <w:sz w:val="20"/>
                    </w:rPr>
                    <w:t>★</w:t>
                  </w:r>
                  <w:r>
                    <w:rPr>
                      <w:rFonts w:hint="eastAsia" w:eastAsia="宋体" w:cs="Arial" w:asciiTheme="minorEastAsia" w:hAnsiTheme="minorEastAsia"/>
                      <w:sz w:val="24"/>
                    </w:rPr>
                    <w:t>19</w:t>
                  </w:r>
                </w:p>
              </w:tc>
              <w:tc>
                <w:tcPr>
                  <w:tcW w:w="6350" w:type="dxa"/>
                  <w:shd w:val="clear" w:color="auto" w:fill="FDE9D9" w:themeFill="accent6" w:themeFillTint="33"/>
                  <w:vAlign w:val="center"/>
                </w:tcPr>
                <w:p w14:paraId="29172C15">
                  <w:pPr>
                    <w:spacing w:line="360" w:lineRule="auto"/>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设备可使用符合规定的多种消毒液：戊二醛、邻苯二甲醛、二氧化氯、过氧乙酸等。（</w:t>
                  </w:r>
                  <w:r>
                    <w:rPr>
                      <w:rFonts w:hint="eastAsia" w:ascii="Times New Roman" w:hAnsi="Times New Roman" w:eastAsia="宋体" w:cs="Times New Roman"/>
                      <w:szCs w:val="21"/>
                    </w:rPr>
                    <w:t>需提供杀灭对数值≥3.0消毒效果的第三方检测报告</w:t>
                  </w:r>
                  <w:r>
                    <w:rPr>
                      <w:rFonts w:hint="eastAsia" w:cs="Times New Roman" w:asciiTheme="minorEastAsia" w:hAnsiTheme="minorEastAsia" w:eastAsiaTheme="minorEastAsia"/>
                      <w:szCs w:val="21"/>
                    </w:rPr>
                    <w:t>）</w:t>
                  </w:r>
                </w:p>
              </w:tc>
            </w:tr>
            <w:tr w14:paraId="04E2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A83B36B">
                  <w:pPr>
                    <w:jc w:val="center"/>
                    <w:rPr>
                      <w:rFonts w:hint="eastAsia" w:eastAsia="宋体" w:cs="Arial" w:asciiTheme="minorEastAsia" w:hAnsiTheme="minorEastAsia"/>
                      <w:sz w:val="24"/>
                    </w:rPr>
                  </w:pPr>
                  <w:r>
                    <w:rPr>
                      <w:rFonts w:hint="eastAsia" w:eastAsia="宋体" w:cs="Times New Roman" w:asciiTheme="minorEastAsia" w:hAnsiTheme="minorEastAsia"/>
                      <w:b/>
                      <w:kern w:val="0"/>
                      <w:sz w:val="20"/>
                    </w:rPr>
                    <w:t>★</w:t>
                  </w:r>
                  <w:r>
                    <w:rPr>
                      <w:rFonts w:hint="eastAsia" w:eastAsia="宋体" w:cs="Arial" w:asciiTheme="minorEastAsia" w:hAnsiTheme="minorEastAsia"/>
                      <w:sz w:val="24"/>
                    </w:rPr>
                    <w:t>20</w:t>
                  </w:r>
                </w:p>
              </w:tc>
              <w:tc>
                <w:tcPr>
                  <w:tcW w:w="6350" w:type="dxa"/>
                  <w:shd w:val="clear" w:color="auto" w:fill="FDE9D9" w:themeFill="accent6" w:themeFillTint="33"/>
                  <w:vAlign w:val="center"/>
                </w:tcPr>
                <w:p w14:paraId="62CFA04D">
                  <w:pPr>
                    <w:spacing w:line="360" w:lineRule="auto"/>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设备使用过氧乙酸作为消毒剂时，内镜处理可达灭菌水平。（</w:t>
                  </w:r>
                  <w:r>
                    <w:rPr>
                      <w:rFonts w:hint="eastAsia" w:ascii="Times New Roman" w:hAnsi="Times New Roman" w:eastAsia="宋体" w:cs="Times New Roman"/>
                      <w:color w:val="000000" w:themeColor="text1"/>
                      <w14:textFill>
                        <w14:solidFill>
                          <w14:schemeClr w14:val="tx1"/>
                        </w14:solidFill>
                      </w14:textFill>
                    </w:rPr>
                    <w:t>提供国家认可的检测报告</w:t>
                  </w:r>
                  <w:r>
                    <w:rPr>
                      <w:rFonts w:hint="eastAsia" w:ascii="宋体" w:hAnsi="宋体" w:eastAsia="宋体" w:cs="Times New Roman"/>
                      <w:color w:val="000000" w:themeColor="text1"/>
                      <w:szCs w:val="21"/>
                      <w14:textFill>
                        <w14:solidFill>
                          <w14:schemeClr w14:val="tx1"/>
                        </w14:solidFill>
                      </w14:textFill>
                    </w:rPr>
                    <w:t>。</w:t>
                  </w:r>
                  <w:r>
                    <w:rPr>
                      <w:rFonts w:hint="eastAsia" w:cs="Times New Roman" w:asciiTheme="minorEastAsia" w:hAnsiTheme="minorEastAsia" w:eastAsiaTheme="minorEastAsia"/>
                      <w:szCs w:val="21"/>
                    </w:rPr>
                    <w:t>）</w:t>
                  </w:r>
                </w:p>
              </w:tc>
            </w:tr>
            <w:tr w14:paraId="7473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461FC925">
                  <w:pPr>
                    <w:jc w:val="center"/>
                    <w:rPr>
                      <w:rFonts w:hint="eastAsia" w:eastAsia="宋体" w:cs="Arial" w:asciiTheme="minorEastAsia" w:hAnsiTheme="minorEastAsia"/>
                      <w:sz w:val="24"/>
                    </w:rPr>
                  </w:pPr>
                  <w:r>
                    <w:rPr>
                      <w:rFonts w:ascii="Arial" w:hAnsi="Arial" w:eastAsia="宋体" w:cs="Arial"/>
                    </w:rPr>
                    <w:t>▲</w:t>
                  </w:r>
                  <w:r>
                    <w:rPr>
                      <w:rFonts w:hint="eastAsia" w:eastAsia="宋体" w:cs="Arial" w:asciiTheme="minorEastAsia" w:hAnsiTheme="minorEastAsia"/>
                      <w:sz w:val="24"/>
                    </w:rPr>
                    <w:t>21</w:t>
                  </w:r>
                </w:p>
              </w:tc>
              <w:tc>
                <w:tcPr>
                  <w:tcW w:w="6350" w:type="dxa"/>
                  <w:shd w:val="clear" w:color="auto" w:fill="FDE9D9" w:themeFill="accent6" w:themeFillTint="33"/>
                  <w:vAlign w:val="center"/>
                </w:tcPr>
                <w:p w14:paraId="4F69C9A5">
                  <w:pPr>
                    <w:spacing w:line="360" w:lineRule="auto"/>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控制系统实时显示消毒液已使用天数、已使用次数、洗消人员编号、内镜编号、日期、加热温度等信息。</w:t>
                  </w:r>
                </w:p>
              </w:tc>
            </w:tr>
            <w:tr w14:paraId="1A40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5BB669E8">
                  <w:pPr>
                    <w:jc w:val="center"/>
                    <w:rPr>
                      <w:rFonts w:hint="eastAsia" w:eastAsia="宋体" w:cs="Arial" w:asciiTheme="minorEastAsia" w:hAnsiTheme="minorEastAsia"/>
                      <w:sz w:val="24"/>
                    </w:rPr>
                  </w:pPr>
                  <w:r>
                    <w:rPr>
                      <w:rFonts w:ascii="Arial" w:hAnsi="Arial" w:eastAsia="宋体" w:cs="Arial"/>
                    </w:rPr>
                    <w:t>▲</w:t>
                  </w:r>
                  <w:r>
                    <w:rPr>
                      <w:rFonts w:hint="eastAsia" w:eastAsia="宋体" w:cs="Arial" w:asciiTheme="minorEastAsia" w:hAnsiTheme="minorEastAsia"/>
                      <w:sz w:val="24"/>
                    </w:rPr>
                    <w:t>22</w:t>
                  </w:r>
                </w:p>
              </w:tc>
              <w:tc>
                <w:tcPr>
                  <w:tcW w:w="6350" w:type="dxa"/>
                  <w:shd w:val="clear" w:color="auto" w:fill="FDE9D9" w:themeFill="accent6" w:themeFillTint="33"/>
                  <w:vAlign w:val="center"/>
                </w:tcPr>
                <w:p w14:paraId="30DB6C95">
                  <w:pPr>
                    <w:spacing w:line="360" w:lineRule="auto"/>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控制系统内置快速程序、标准程序、加强程序、自消毒、漂洗水采样、空气采样等模式。</w:t>
                  </w:r>
                </w:p>
              </w:tc>
            </w:tr>
            <w:tr w14:paraId="05F2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41249A4D">
                  <w:pPr>
                    <w:jc w:val="center"/>
                    <w:rPr>
                      <w:rFonts w:hint="eastAsia" w:eastAsia="宋体" w:cs="Arial" w:asciiTheme="minorEastAsia" w:hAnsiTheme="minorEastAsia"/>
                      <w:sz w:val="24"/>
                    </w:rPr>
                  </w:pPr>
                  <w:r>
                    <w:rPr>
                      <w:rFonts w:ascii="Arial" w:hAnsi="Arial" w:eastAsia="宋体" w:cs="Arial"/>
                    </w:rPr>
                    <w:t>▲</w:t>
                  </w:r>
                  <w:r>
                    <w:rPr>
                      <w:rFonts w:hint="eastAsia" w:eastAsia="宋体" w:cs="Arial" w:asciiTheme="minorEastAsia" w:hAnsiTheme="minorEastAsia"/>
                      <w:sz w:val="24"/>
                    </w:rPr>
                    <w:t>23</w:t>
                  </w:r>
                </w:p>
              </w:tc>
              <w:tc>
                <w:tcPr>
                  <w:tcW w:w="6350" w:type="dxa"/>
                  <w:shd w:val="clear" w:color="auto" w:fill="FDE9D9" w:themeFill="accent6" w:themeFillTint="33"/>
                  <w:vAlign w:val="center"/>
                </w:tcPr>
                <w:p w14:paraId="385697E7">
                  <w:pPr>
                    <w:spacing w:line="360" w:lineRule="auto"/>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采用彩色高清液晶触摸屏。</w:t>
                  </w:r>
                </w:p>
              </w:tc>
            </w:tr>
            <w:tr w14:paraId="1AA53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89" w:type="dxa"/>
                  <w:gridSpan w:val="2"/>
                  <w:shd w:val="clear" w:color="auto" w:fill="FDE9D9" w:themeFill="accent6" w:themeFillTint="33"/>
                  <w:vAlign w:val="center"/>
                </w:tcPr>
                <w:p w14:paraId="2A967548">
                  <w:pPr>
                    <w:spacing w:line="360" w:lineRule="auto"/>
                    <w:rPr>
                      <w:rFonts w:cs="Times New Roman" w:asciiTheme="minorEastAsia" w:hAnsiTheme="minorEastAsia" w:eastAsiaTheme="minorEastAsia"/>
                      <w:szCs w:val="21"/>
                    </w:rPr>
                  </w:pPr>
                  <w:r>
                    <w:rPr>
                      <w:rFonts w:hint="eastAsia" w:cs="Times New Roman" w:asciiTheme="minorEastAsia" w:hAnsiTheme="minorEastAsia" w:eastAsiaTheme="minorEastAsia"/>
                      <w:b/>
                      <w:bCs/>
                      <w:color w:val="000000" w:themeColor="text1"/>
                      <w:szCs w:val="21"/>
                      <w14:textFill>
                        <w14:solidFill>
                          <w14:schemeClr w14:val="tx1"/>
                        </w14:solidFill>
                      </w14:textFill>
                    </w:rPr>
                    <w:t>软镜储存柜</w:t>
                  </w:r>
                </w:p>
              </w:tc>
            </w:tr>
            <w:tr w14:paraId="13CA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7362AE27">
                  <w:pPr>
                    <w:jc w:val="center"/>
                    <w:rPr>
                      <w:rFonts w:hint="eastAsia" w:eastAsia="宋体" w:cs="Arial" w:asciiTheme="minorEastAsia" w:hAnsiTheme="minorEastAsia"/>
                      <w:sz w:val="24"/>
                    </w:rPr>
                  </w:pPr>
                  <w:r>
                    <w:rPr>
                      <w:rFonts w:ascii="Arial" w:hAnsi="Arial" w:eastAsia="宋体" w:cs="Arial"/>
                    </w:rPr>
                    <w:t>▲</w:t>
                  </w:r>
                  <w:r>
                    <w:rPr>
                      <w:rFonts w:hint="eastAsia" w:eastAsia="宋体" w:cs="Arial" w:asciiTheme="minorEastAsia" w:hAnsiTheme="minorEastAsia"/>
                      <w:sz w:val="24"/>
                    </w:rPr>
                    <w:t>24</w:t>
                  </w:r>
                </w:p>
              </w:tc>
              <w:tc>
                <w:tcPr>
                  <w:tcW w:w="6350" w:type="dxa"/>
                  <w:shd w:val="clear" w:color="auto" w:fill="FDE9D9" w:themeFill="accent6" w:themeFillTint="33"/>
                  <w:vAlign w:val="center"/>
                </w:tcPr>
                <w:p w14:paraId="60FA3C88">
                  <w:pPr>
                    <w:spacing w:line="360" w:lineRule="auto"/>
                    <w:rPr>
                      <w:rFonts w:cs="Times New Roman" w:asciiTheme="minorEastAsia" w:hAnsiTheme="minorEastAsia" w:eastAsiaTheme="minorEastAsia"/>
                      <w:b/>
                      <w:bCs/>
                      <w:color w:val="000000" w:themeColor="text1"/>
                      <w:szCs w:val="21"/>
                      <w14:textFill>
                        <w14:solidFill>
                          <w14:schemeClr w14:val="tx1"/>
                        </w14:solidFill>
                      </w14:textFill>
                    </w:rPr>
                  </w:pPr>
                  <w:r>
                    <w:rPr>
                      <w:rFonts w:hint="eastAsia" w:cs="Times New Roman" w:asciiTheme="minorEastAsia" w:hAnsiTheme="minorEastAsia" w:eastAsiaTheme="minorEastAsia"/>
                      <w:szCs w:val="21"/>
                    </w:rPr>
                    <w:t>储存相对湿度：30%～90%可调。</w:t>
                  </w:r>
                </w:p>
              </w:tc>
            </w:tr>
            <w:tr w14:paraId="2F56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3652DFB2">
                  <w:pPr>
                    <w:jc w:val="center"/>
                    <w:rPr>
                      <w:rFonts w:hint="eastAsia" w:eastAsia="宋体" w:cs="Arial" w:asciiTheme="minorEastAsia" w:hAnsiTheme="minorEastAsia"/>
                      <w:sz w:val="24"/>
                    </w:rPr>
                  </w:pPr>
                  <w:r>
                    <w:rPr>
                      <w:rFonts w:ascii="Arial" w:hAnsi="Arial" w:eastAsia="宋体" w:cs="Arial"/>
                    </w:rPr>
                    <w:t>▲</w:t>
                  </w:r>
                  <w:r>
                    <w:rPr>
                      <w:rFonts w:hint="eastAsia" w:eastAsia="宋体" w:cs="Arial" w:asciiTheme="minorEastAsia" w:hAnsiTheme="minorEastAsia"/>
                      <w:sz w:val="24"/>
                    </w:rPr>
                    <w:t>25</w:t>
                  </w:r>
                </w:p>
              </w:tc>
              <w:tc>
                <w:tcPr>
                  <w:tcW w:w="6350" w:type="dxa"/>
                  <w:shd w:val="clear" w:color="auto" w:fill="FDE9D9" w:themeFill="accent6" w:themeFillTint="33"/>
                  <w:vAlign w:val="center"/>
                </w:tcPr>
                <w:p w14:paraId="77CDC0F5">
                  <w:pPr>
                    <w:spacing w:line="360" w:lineRule="auto"/>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柜内高度≥1850mm，保证内镜悬挂空间。</w:t>
                  </w:r>
                </w:p>
              </w:tc>
            </w:tr>
            <w:tr w14:paraId="3802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3D66CF57">
                  <w:pPr>
                    <w:jc w:val="center"/>
                    <w:rPr>
                      <w:rFonts w:hint="eastAsia" w:eastAsia="宋体" w:cs="Arial" w:asciiTheme="minorEastAsia" w:hAnsiTheme="minorEastAsia"/>
                      <w:sz w:val="24"/>
                    </w:rPr>
                  </w:pPr>
                  <w:r>
                    <w:rPr>
                      <w:rFonts w:ascii="Arial" w:hAnsi="Arial" w:eastAsia="宋体" w:cs="Arial"/>
                    </w:rPr>
                    <w:t>▲</w:t>
                  </w:r>
                  <w:r>
                    <w:rPr>
                      <w:rFonts w:hint="eastAsia" w:eastAsia="宋体" w:cs="Arial" w:asciiTheme="minorEastAsia" w:hAnsiTheme="minorEastAsia"/>
                      <w:sz w:val="24"/>
                    </w:rPr>
                    <w:t>26</w:t>
                  </w:r>
                </w:p>
              </w:tc>
              <w:tc>
                <w:tcPr>
                  <w:tcW w:w="6350" w:type="dxa"/>
                  <w:shd w:val="clear" w:color="auto" w:fill="FDE9D9" w:themeFill="accent6" w:themeFillTint="33"/>
                  <w:vAlign w:val="center"/>
                </w:tcPr>
                <w:p w14:paraId="2AC559B7">
                  <w:pPr>
                    <w:spacing w:line="360" w:lineRule="auto"/>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储存空间越大越好。</w:t>
                  </w:r>
                </w:p>
              </w:tc>
            </w:tr>
          </w:tbl>
          <w:p w14:paraId="50FA00AB">
            <w:pPr>
              <w:spacing w:line="360" w:lineRule="auto"/>
            </w:pPr>
          </w:p>
        </w:tc>
      </w:tr>
      <w:tr w14:paraId="05B42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2DBA07E8"/>
        </w:tc>
        <w:tc>
          <w:tcPr>
            <w:tcW w:w="486" w:type="dxa"/>
          </w:tcPr>
          <w:p w14:paraId="194CA8C1">
            <w:r>
              <w:rPr>
                <w:rFonts w:hint="eastAsia"/>
              </w:rPr>
              <w:t>2</w:t>
            </w:r>
          </w:p>
        </w:tc>
        <w:tc>
          <w:tcPr>
            <w:tcW w:w="7500" w:type="dxa"/>
          </w:tcPr>
          <w:p w14:paraId="1DCF9F7F">
            <w:pPr>
              <w:spacing w:line="360" w:lineRule="auto"/>
              <w:jc w:val="left"/>
            </w:pPr>
            <w:r>
              <w:rPr>
                <w:rFonts w:hint="eastAsia"/>
              </w:rPr>
              <w:t>货物要求：</w:t>
            </w:r>
          </w:p>
          <w:p w14:paraId="2C3A7048">
            <w:pPr>
              <w:spacing w:line="360" w:lineRule="auto"/>
              <w:jc w:val="left"/>
              <w:rPr>
                <w:rFonts w:asciiTheme="minorEastAsia" w:hAnsiTheme="minorEastAsia"/>
              </w:rPr>
            </w:pPr>
            <w:r>
              <w:rPr>
                <w:rFonts w:hint="eastAsia" w:asciiTheme="minorEastAsia" w:hAnsiTheme="minorEastAsia"/>
              </w:rPr>
              <w:t>1、如投标人所投的产品不是投标人自己制造的，投标人应得到制造商同意其在本次投标中提供该货物的</w:t>
            </w:r>
            <w:r>
              <w:rPr>
                <w:rFonts w:hint="eastAsia" w:asciiTheme="minorEastAsia" w:hAnsiTheme="minorEastAsia"/>
                <w:b/>
              </w:rPr>
              <w:t>正式授权书（逐级授权都需齐全）</w:t>
            </w:r>
            <w:r>
              <w:rPr>
                <w:rFonts w:hint="eastAsia" w:asciiTheme="minorEastAsia" w:hAnsiTheme="minorEastAsia"/>
              </w:rPr>
              <w:t>。</w:t>
            </w:r>
          </w:p>
          <w:p w14:paraId="26EE9B3E">
            <w:pPr>
              <w:spacing w:line="360" w:lineRule="auto"/>
              <w:jc w:val="left"/>
              <w:rPr>
                <w:rFonts w:asciiTheme="minorEastAsia" w:hAnsiTheme="minorEastAsia"/>
              </w:rPr>
            </w:pPr>
            <w:r>
              <w:rPr>
                <w:rFonts w:hint="eastAsia" w:asciiTheme="minorEastAsia" w:hAnsiTheme="minorEastAsia"/>
              </w:rPr>
              <w:t>2、投标人须提供所投产品</w:t>
            </w:r>
            <w:r>
              <w:rPr>
                <w:rFonts w:hint="eastAsia" w:asciiTheme="minorEastAsia" w:hAnsiTheme="minorEastAsia"/>
                <w:b/>
              </w:rPr>
              <w:t>完整的配置清单</w:t>
            </w:r>
            <w:r>
              <w:rPr>
                <w:rFonts w:hint="eastAsia" w:asciiTheme="minorEastAsia" w:hAnsiTheme="minorEastAsia"/>
              </w:rPr>
              <w:t>。</w:t>
            </w:r>
          </w:p>
          <w:p w14:paraId="1B3D87AE">
            <w:pPr>
              <w:spacing w:line="360" w:lineRule="auto"/>
              <w:jc w:val="left"/>
              <w:rPr>
                <w:rFonts w:asciiTheme="minorEastAsia" w:hAnsiTheme="minorEastAsia"/>
              </w:rPr>
            </w:pPr>
            <w:r>
              <w:rPr>
                <w:rFonts w:hint="eastAsia" w:asciiTheme="minorEastAsia" w:hAnsiTheme="minorEastAsia"/>
              </w:rPr>
              <w:t>3、如投标人所投产品</w:t>
            </w:r>
            <w:r>
              <w:rPr>
                <w:rFonts w:hint="eastAsia" w:asciiTheme="minorEastAsia" w:hAnsiTheme="minorEastAsia"/>
                <w:b/>
              </w:rPr>
              <w:t>含有配套耗材，须提供配套耗材的报价明细</w:t>
            </w:r>
            <w:r>
              <w:rPr>
                <w:rFonts w:hint="eastAsia" w:asciiTheme="minorEastAsia" w:hAnsiTheme="minorEastAsia"/>
              </w:rPr>
              <w:t>，该报价将作为后期采购的参考价格，但不包括在本次投标报价中；如投标人所投产品不含有配套耗材，提供不需要配套耗材的声明函。</w:t>
            </w:r>
          </w:p>
          <w:p w14:paraId="541F8D17">
            <w:pPr>
              <w:spacing w:line="360" w:lineRule="auto"/>
              <w:jc w:val="left"/>
              <w:rPr>
                <w:rFonts w:asciiTheme="minorEastAsia" w:hAnsiTheme="minorEastAsia"/>
              </w:rPr>
            </w:pPr>
            <w:r>
              <w:rPr>
                <w:rFonts w:hint="eastAsia" w:asciiTheme="minorEastAsia" w:hAnsiTheme="minorEastAsia"/>
                <w:b/>
              </w:rPr>
              <w:t>4、所投产品具有有效的中华人民共和国医疗器械注册证（注册证型号与投标型号一致）。（所投产品必须证件齐全，且在有效期内。若本条不满足，则投标无效）</w:t>
            </w:r>
          </w:p>
          <w:p w14:paraId="528304ED">
            <w:pPr>
              <w:spacing w:line="360" w:lineRule="auto"/>
              <w:jc w:val="left"/>
              <w:rPr>
                <w:rFonts w:asciiTheme="minorEastAsia" w:hAnsiTheme="minorEastAsia"/>
              </w:rPr>
            </w:pPr>
            <w:r>
              <w:rPr>
                <w:rFonts w:hint="eastAsia" w:asciiTheme="minorEastAsia" w:hAnsiTheme="minorEastAsia"/>
              </w:rPr>
              <w:t>5、本项目所述产品及技术要求，应视为保证项目投入运行所需的最低要求，并无指定。投标人可选用技术参数相当或更优的产品进行响应，也可以对产品配套的细节部分加以明确和优化。</w:t>
            </w:r>
          </w:p>
        </w:tc>
      </w:tr>
      <w:tr w14:paraId="6EAF95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0" w:hRule="atLeast"/>
        </w:trPr>
        <w:tc>
          <w:tcPr>
            <w:tcW w:w="1104" w:type="dxa"/>
            <w:gridSpan w:val="2"/>
          </w:tcPr>
          <w:p w14:paraId="460222C5">
            <w:pPr>
              <w:ind w:firstLine="401"/>
              <w:jc w:val="left"/>
            </w:pPr>
            <w:r>
              <w:t>说明</w:t>
            </w:r>
          </w:p>
        </w:tc>
        <w:tc>
          <w:tcPr>
            <w:tcW w:w="7500" w:type="dxa"/>
            <w:tcBorders>
              <w:top w:val="single" w:color="auto" w:sz="0" w:space="0"/>
              <w:left w:val="single" w:color="auto" w:sz="0" w:space="0"/>
              <w:bottom w:val="single" w:color="auto" w:sz="0" w:space="0"/>
              <w:right w:val="single" w:color="auto" w:sz="0" w:space="0"/>
            </w:tcBorders>
          </w:tcPr>
          <w:p w14:paraId="5070B3AC">
            <w:pPr>
              <w:spacing w:line="360" w:lineRule="auto"/>
              <w:rPr>
                <w:rFonts w:ascii="宋体" w:hAnsi="宋体"/>
                <w:szCs w:val="21"/>
              </w:rPr>
            </w:pPr>
            <w:r>
              <w:t>打“</w:t>
            </w:r>
            <w:r>
              <w:rPr>
                <w:rFonts w:hint="eastAsia" w:ascii="宋体" w:hAnsi="宋体" w:eastAsia="宋体" w:cs="宋体"/>
              </w:rPr>
              <w:t>★</w:t>
            </w:r>
            <w:r>
              <w:rPr>
                <w:rFonts w:ascii="Calibri" w:hAnsi="Calibri" w:cs="Calibri"/>
              </w:rPr>
              <w:t>”</w:t>
            </w:r>
            <w:r>
              <w:t>号条款为实质性条款，若有任何一条不满足则导致投标无效。</w:t>
            </w:r>
            <w:r>
              <w:br w:type="textWrapping"/>
            </w:r>
            <w:r>
              <w:t>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p>
        </w:tc>
      </w:tr>
    </w:tbl>
    <w:p w14:paraId="555E71B2">
      <w:pPr>
        <w:pStyle w:val="7"/>
        <w:ind w:left="0" w:leftChars="0" w:firstLine="0" w:firstLineChars="0"/>
      </w:pPr>
    </w:p>
    <w:p w14:paraId="428BFFFB">
      <w:pPr>
        <w:spacing w:line="360" w:lineRule="auto"/>
      </w:pPr>
      <w:r>
        <w:rPr>
          <w:rFonts w:hint="eastAsia"/>
          <w:b/>
          <w:sz w:val="24"/>
        </w:rPr>
        <w:t>2</w:t>
      </w:r>
      <w:r>
        <w:rPr>
          <w:b/>
          <w:sz w:val="24"/>
        </w:rPr>
        <w:t>.主要商务要求</w:t>
      </w:r>
    </w:p>
    <w:tbl>
      <w:tblPr>
        <w:tblStyle w:val="8"/>
        <w:tblW w:w="847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09"/>
        <w:gridCol w:w="6663"/>
      </w:tblGrid>
      <w:tr w14:paraId="6946F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5CC53EB2">
            <w:pPr>
              <w:spacing w:line="360" w:lineRule="auto"/>
            </w:pPr>
            <w:r>
              <w:rPr>
                <w:rFonts w:hint="eastAsia"/>
              </w:rPr>
              <w:t>① 供货</w:t>
            </w:r>
            <w:r>
              <w:t>时间</w:t>
            </w:r>
          </w:p>
        </w:tc>
        <w:tc>
          <w:tcPr>
            <w:tcW w:w="6663" w:type="dxa"/>
          </w:tcPr>
          <w:p w14:paraId="3C0EE0E9">
            <w:pPr>
              <w:spacing w:line="360" w:lineRule="auto"/>
            </w:pPr>
            <w:r>
              <w:rPr>
                <w:rFonts w:hint="eastAsia"/>
              </w:rPr>
              <w:t>合同签订生效后30个日历天内，完成到货安装调试并提交采购人试用。</w:t>
            </w:r>
          </w:p>
        </w:tc>
      </w:tr>
      <w:tr w14:paraId="7551DC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0C20A44D">
            <w:pPr>
              <w:spacing w:line="360" w:lineRule="auto"/>
            </w:pPr>
            <w:r>
              <w:rPr>
                <w:rFonts w:hint="eastAsia"/>
              </w:rPr>
              <w:t>② 供货</w:t>
            </w:r>
            <w:r>
              <w:t>地点</w:t>
            </w:r>
          </w:p>
        </w:tc>
        <w:tc>
          <w:tcPr>
            <w:tcW w:w="6663" w:type="dxa"/>
          </w:tcPr>
          <w:p w14:paraId="0FFC6EBE">
            <w:pPr>
              <w:spacing w:line="360" w:lineRule="auto"/>
            </w:pPr>
            <w:r>
              <w:rPr>
                <w:rFonts w:hint="eastAsia"/>
                <w:color w:val="000000" w:themeColor="text1"/>
                <w14:textFill>
                  <w14:solidFill>
                    <w14:schemeClr w14:val="tx1"/>
                  </w14:solidFill>
                </w14:textFill>
              </w:rPr>
              <w:t>采购人</w:t>
            </w:r>
            <w:r>
              <w:t>指定地点</w:t>
            </w:r>
          </w:p>
        </w:tc>
      </w:tr>
      <w:tr w14:paraId="2A9173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809" w:type="dxa"/>
          </w:tcPr>
          <w:p w14:paraId="4B9584AA">
            <w:pPr>
              <w:spacing w:line="360" w:lineRule="auto"/>
            </w:pPr>
            <w:r>
              <w:rPr>
                <w:rFonts w:hint="eastAsia"/>
              </w:rPr>
              <w:t xml:space="preserve">③ </w:t>
            </w:r>
            <w:r>
              <w:t>付款方式</w:t>
            </w:r>
          </w:p>
        </w:tc>
        <w:tc>
          <w:tcPr>
            <w:tcW w:w="6663" w:type="dxa"/>
          </w:tcPr>
          <w:p w14:paraId="43BDD376">
            <w:pPr>
              <w:spacing w:line="360" w:lineRule="auto"/>
            </w:pPr>
            <w:r>
              <w:rPr>
                <w:rFonts w:hint="eastAsia"/>
              </w:rPr>
              <w:t>（一）10万元以内分两期付款，合同签订生效后,乙方将设备运到指定地点，安装调试完毕并验收合格、入库之后的3个月后，将支付合同总金额的80%；合同签订生效十八个月后将支付余下款项（合同总金额的20%）。</w:t>
            </w:r>
          </w:p>
          <w:p w14:paraId="66482C8E">
            <w:pPr>
              <w:spacing w:line="360" w:lineRule="auto"/>
            </w:pPr>
            <w:r>
              <w:rPr>
                <w:rFonts w:hint="eastAsia"/>
              </w:rPr>
              <w:t>（二）10万元以上设备分三期支付货款，合同签订生效后的30个工作日，支付合同总金额的30%；安装调试完毕并验收合格、入库后的30个工作日，将支付合同总金额的60%；合同签订生效十八个月后，确认无其它扣款事项后30个工作日，将支付余下款项（合同总金额的10%）。</w:t>
            </w:r>
          </w:p>
        </w:tc>
      </w:tr>
      <w:tr w14:paraId="199E48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42AD35F7">
            <w:pPr>
              <w:spacing w:line="360" w:lineRule="auto"/>
            </w:pPr>
            <w:r>
              <w:rPr>
                <w:rFonts w:hint="eastAsia"/>
              </w:rPr>
              <w:t xml:space="preserve">④ </w:t>
            </w:r>
            <w:r>
              <w:t>验收要求</w:t>
            </w:r>
          </w:p>
        </w:tc>
        <w:tc>
          <w:tcPr>
            <w:tcW w:w="6663" w:type="dxa"/>
          </w:tcPr>
          <w:p w14:paraId="13609202">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检测费由中标人承担)。（三）验收标准：1、中标人提供的设备必须是全新的，出厂日期不超过壹年，且交付时原厂包装完好，无任何质量缺陷；设备中所装的软件必须是最新的版本。2、中标人随设备提供设备的中文说明书、中文使用手册及合同第二条（二）中列明的相关法律文件资料。3、安装调试完毕后，所有设备必须能保证能正常运行并满足采购人购买时所声明的使用需求。4、质量验收不限于以上标准，其中未包括的内容，执行现行的适用于该设备的国家和行业最高标准。</w:t>
            </w:r>
          </w:p>
        </w:tc>
      </w:tr>
      <w:tr w14:paraId="582E1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3F3FA209">
            <w:pPr>
              <w:spacing w:line="360" w:lineRule="auto"/>
            </w:pPr>
            <w:r>
              <w:rPr>
                <w:rFonts w:hint="eastAsia"/>
              </w:rPr>
              <w:t xml:space="preserve">⑤ </w:t>
            </w:r>
            <w:r>
              <w:t>其他</w:t>
            </w:r>
            <w:r>
              <w:rPr>
                <w:rFonts w:hint="eastAsia"/>
              </w:rPr>
              <w:t>要求</w:t>
            </w:r>
          </w:p>
        </w:tc>
        <w:tc>
          <w:tcPr>
            <w:tcW w:w="6663" w:type="dxa"/>
          </w:tcPr>
          <w:p w14:paraId="23C7762C">
            <w:pPr>
              <w:spacing w:line="360" w:lineRule="auto"/>
              <w:jc w:val="left"/>
              <w:rPr>
                <w:bCs/>
                <w:szCs w:val="21"/>
              </w:rPr>
            </w:pPr>
            <w:r>
              <w:rPr>
                <w:rFonts w:hint="eastAsia"/>
                <w:bCs/>
                <w:szCs w:val="21"/>
              </w:rPr>
              <w:t>1、产品要求：投标提供的设备为原制造商制造的全新产品，无污染，无侵权行为、无划损、无任何缺陷隐患，在中国境内可依常规安全合法使用。</w:t>
            </w:r>
          </w:p>
          <w:p w14:paraId="3EB28855">
            <w:pPr>
              <w:spacing w:line="360" w:lineRule="auto"/>
              <w:jc w:val="left"/>
              <w:rPr>
                <w:bCs/>
                <w:szCs w:val="21"/>
              </w:rPr>
            </w:pPr>
            <w:r>
              <w:rPr>
                <w:rFonts w:hint="eastAsia"/>
                <w:bCs/>
                <w:szCs w:val="21"/>
              </w:rPr>
              <w:t>2、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14:paraId="36D64C7A">
            <w:pPr>
              <w:spacing w:line="360" w:lineRule="auto"/>
              <w:jc w:val="left"/>
              <w:rPr>
                <w:bCs/>
                <w:szCs w:val="21"/>
              </w:rPr>
            </w:pPr>
            <w:r>
              <w:rPr>
                <w:rFonts w:hint="eastAsia"/>
                <w:bCs/>
                <w:szCs w:val="21"/>
              </w:rPr>
              <w:t>3、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14:paraId="6DEE6264">
            <w:pPr>
              <w:spacing w:line="360" w:lineRule="auto"/>
              <w:jc w:val="left"/>
              <w:rPr>
                <w:bCs/>
                <w:szCs w:val="21"/>
              </w:rPr>
            </w:pPr>
            <w:r>
              <w:rPr>
                <w:rFonts w:hint="eastAsia"/>
                <w:bCs/>
                <w:szCs w:val="21"/>
              </w:rPr>
              <w:t>4、售后服务：（1）整机(</w:t>
            </w:r>
            <w:r>
              <w:rPr>
                <w:rFonts w:hint="eastAsia"/>
                <w:b/>
                <w:bCs/>
                <w:szCs w:val="21"/>
              </w:rPr>
              <w:t>含所有零配件、易损易耗品</w:t>
            </w:r>
            <w:r>
              <w:rPr>
                <w:rFonts w:hint="eastAsia"/>
                <w:bCs/>
                <w:szCs w:val="21"/>
              </w:rPr>
              <w:t>)原厂保修期</w:t>
            </w:r>
            <w:r>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14:paraId="6E89E447">
            <w:pPr>
              <w:spacing w:line="360" w:lineRule="auto"/>
              <w:jc w:val="left"/>
              <w:rPr>
                <w:bCs/>
                <w:szCs w:val="21"/>
              </w:rPr>
            </w:pPr>
            <w:r>
              <w:rPr>
                <w:rFonts w:hint="eastAsia"/>
                <w:bCs/>
                <w:szCs w:val="21"/>
              </w:rPr>
              <w:t xml:space="preserve">（2）①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②保修期内至少每季度1次按生产商保养标准做1次保养（该费用已包含在本合同总价中），并出具报告交采购人设备科留存。③保修期后，供应商对设备实行终身上门维修，终身上门保养（≥1次/年），并提供维修保养报告（该费用已包含在合同总价中）。供应商未履行前述维修和保养服务的，采购人有权不支付尾款，尾款金额不足以赔偿采购人损失的，采购人有权要求供应商承担继续赔偿责任。    </w:t>
            </w:r>
          </w:p>
          <w:p w14:paraId="632F7664">
            <w:pPr>
              <w:spacing w:line="360" w:lineRule="auto"/>
              <w:jc w:val="left"/>
              <w:rPr>
                <w:bCs/>
                <w:szCs w:val="21"/>
              </w:rPr>
            </w:pPr>
            <w:r>
              <w:rPr>
                <w:rFonts w:hint="eastAsia"/>
                <w:bCs/>
                <w:szCs w:val="21"/>
              </w:rPr>
              <w:t>（3）承担设备首次计量校准费用。</w:t>
            </w:r>
          </w:p>
          <w:p w14:paraId="2FE22740">
            <w:pPr>
              <w:spacing w:line="360" w:lineRule="auto"/>
              <w:jc w:val="left"/>
              <w:rPr>
                <w:bCs/>
                <w:szCs w:val="21"/>
              </w:rPr>
            </w:pPr>
            <w:r>
              <w:rPr>
                <w:rFonts w:hint="eastAsia"/>
                <w:bCs/>
                <w:szCs w:val="21"/>
              </w:rPr>
              <w:t>5、培训要求：中标人负责培训采购人有关技术人员，直至掌握操作技术为止。在仪器正常使用期间，中标人须负责该设备的技术咨询。</w:t>
            </w:r>
          </w:p>
          <w:p w14:paraId="30BA7E4C">
            <w:pPr>
              <w:spacing w:line="360" w:lineRule="auto"/>
              <w:jc w:val="left"/>
              <w:rPr>
                <w:bCs/>
                <w:szCs w:val="21"/>
              </w:rPr>
            </w:pPr>
            <w:r>
              <w:rPr>
                <w:rFonts w:hint="eastAsia"/>
                <w:bCs/>
                <w:szCs w:val="21"/>
              </w:rPr>
              <w:t>6、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14:paraId="6A3C7FCA">
      <w:pPr>
        <w:spacing w:line="360" w:lineRule="auto"/>
      </w:pPr>
    </w:p>
    <w:sectPr>
      <w:pgSz w:w="11906" w:h="16838"/>
      <w:pgMar w:top="1440" w:right="1800" w:bottom="42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43EF5"/>
    <w:rsid w:val="00070DD7"/>
    <w:rsid w:val="00074123"/>
    <w:rsid w:val="0008595D"/>
    <w:rsid w:val="000A2591"/>
    <w:rsid w:val="000C2191"/>
    <w:rsid w:val="000C2559"/>
    <w:rsid w:val="000C7E78"/>
    <w:rsid w:val="000F2543"/>
    <w:rsid w:val="000F2734"/>
    <w:rsid w:val="000F75BA"/>
    <w:rsid w:val="00107357"/>
    <w:rsid w:val="00111C33"/>
    <w:rsid w:val="00140B25"/>
    <w:rsid w:val="001A350B"/>
    <w:rsid w:val="001B20EF"/>
    <w:rsid w:val="001C10CE"/>
    <w:rsid w:val="001D52B0"/>
    <w:rsid w:val="001D5C7E"/>
    <w:rsid w:val="001F4128"/>
    <w:rsid w:val="00232E4B"/>
    <w:rsid w:val="002404B3"/>
    <w:rsid w:val="00260911"/>
    <w:rsid w:val="00275958"/>
    <w:rsid w:val="002C2158"/>
    <w:rsid w:val="003031D2"/>
    <w:rsid w:val="00311E7F"/>
    <w:rsid w:val="003536ED"/>
    <w:rsid w:val="00353A1C"/>
    <w:rsid w:val="00355391"/>
    <w:rsid w:val="0036203F"/>
    <w:rsid w:val="00392AD1"/>
    <w:rsid w:val="003A1C57"/>
    <w:rsid w:val="003B5BBD"/>
    <w:rsid w:val="003C700F"/>
    <w:rsid w:val="003E33C7"/>
    <w:rsid w:val="003F3D39"/>
    <w:rsid w:val="004271D6"/>
    <w:rsid w:val="00430231"/>
    <w:rsid w:val="0045573B"/>
    <w:rsid w:val="00455D3D"/>
    <w:rsid w:val="00473900"/>
    <w:rsid w:val="004901B0"/>
    <w:rsid w:val="004D533E"/>
    <w:rsid w:val="004E1053"/>
    <w:rsid w:val="004F127F"/>
    <w:rsid w:val="004F3F45"/>
    <w:rsid w:val="00502107"/>
    <w:rsid w:val="005024DE"/>
    <w:rsid w:val="00510DE3"/>
    <w:rsid w:val="00543040"/>
    <w:rsid w:val="005441B4"/>
    <w:rsid w:val="005803D5"/>
    <w:rsid w:val="00595D7D"/>
    <w:rsid w:val="005B6097"/>
    <w:rsid w:val="005C5752"/>
    <w:rsid w:val="005E2E53"/>
    <w:rsid w:val="005E7652"/>
    <w:rsid w:val="006177CA"/>
    <w:rsid w:val="00647249"/>
    <w:rsid w:val="00657FAD"/>
    <w:rsid w:val="0067283E"/>
    <w:rsid w:val="006A6624"/>
    <w:rsid w:val="006C3B09"/>
    <w:rsid w:val="006D0AA5"/>
    <w:rsid w:val="00723790"/>
    <w:rsid w:val="007449A7"/>
    <w:rsid w:val="007756FD"/>
    <w:rsid w:val="007A06CF"/>
    <w:rsid w:val="007B79E4"/>
    <w:rsid w:val="007C7D9B"/>
    <w:rsid w:val="007D7C66"/>
    <w:rsid w:val="007E2963"/>
    <w:rsid w:val="00811633"/>
    <w:rsid w:val="00812DF4"/>
    <w:rsid w:val="00814C7F"/>
    <w:rsid w:val="00824266"/>
    <w:rsid w:val="008301C7"/>
    <w:rsid w:val="008467A8"/>
    <w:rsid w:val="008B7CE7"/>
    <w:rsid w:val="008C01AA"/>
    <w:rsid w:val="008C2B2E"/>
    <w:rsid w:val="008F0B96"/>
    <w:rsid w:val="0090666E"/>
    <w:rsid w:val="00914364"/>
    <w:rsid w:val="00915B76"/>
    <w:rsid w:val="009536CE"/>
    <w:rsid w:val="00965EA1"/>
    <w:rsid w:val="00971E56"/>
    <w:rsid w:val="0098133A"/>
    <w:rsid w:val="009967B2"/>
    <w:rsid w:val="009A5096"/>
    <w:rsid w:val="009B02E2"/>
    <w:rsid w:val="009B1881"/>
    <w:rsid w:val="009C06ED"/>
    <w:rsid w:val="00A03DFC"/>
    <w:rsid w:val="00A2387F"/>
    <w:rsid w:val="00A41983"/>
    <w:rsid w:val="00AB5A5A"/>
    <w:rsid w:val="00AC2AAE"/>
    <w:rsid w:val="00AD0C59"/>
    <w:rsid w:val="00AD31C6"/>
    <w:rsid w:val="00AE18BB"/>
    <w:rsid w:val="00AF0FE7"/>
    <w:rsid w:val="00B0212A"/>
    <w:rsid w:val="00B15BC2"/>
    <w:rsid w:val="00B51D64"/>
    <w:rsid w:val="00B54242"/>
    <w:rsid w:val="00B631E1"/>
    <w:rsid w:val="00BA2AD8"/>
    <w:rsid w:val="00BC72F0"/>
    <w:rsid w:val="00BD4999"/>
    <w:rsid w:val="00C30EC5"/>
    <w:rsid w:val="00C74D09"/>
    <w:rsid w:val="00C913DB"/>
    <w:rsid w:val="00CC23A4"/>
    <w:rsid w:val="00CC3F01"/>
    <w:rsid w:val="00CE35EB"/>
    <w:rsid w:val="00CF72DC"/>
    <w:rsid w:val="00D00FE5"/>
    <w:rsid w:val="00D049EF"/>
    <w:rsid w:val="00D1694B"/>
    <w:rsid w:val="00D2439D"/>
    <w:rsid w:val="00D32C33"/>
    <w:rsid w:val="00D548CE"/>
    <w:rsid w:val="00D54911"/>
    <w:rsid w:val="00D55C95"/>
    <w:rsid w:val="00D727CB"/>
    <w:rsid w:val="00D74460"/>
    <w:rsid w:val="00D8647E"/>
    <w:rsid w:val="00D8671A"/>
    <w:rsid w:val="00DA341F"/>
    <w:rsid w:val="00DB7160"/>
    <w:rsid w:val="00DE3C72"/>
    <w:rsid w:val="00E06D6A"/>
    <w:rsid w:val="00E160E1"/>
    <w:rsid w:val="00E36425"/>
    <w:rsid w:val="00E63EF0"/>
    <w:rsid w:val="00E749A3"/>
    <w:rsid w:val="00E76FC9"/>
    <w:rsid w:val="00E87C42"/>
    <w:rsid w:val="00EB539F"/>
    <w:rsid w:val="00EC4A4C"/>
    <w:rsid w:val="00F0111E"/>
    <w:rsid w:val="00F06225"/>
    <w:rsid w:val="00F35112"/>
    <w:rsid w:val="00F7023F"/>
    <w:rsid w:val="00F72C24"/>
    <w:rsid w:val="00F86435"/>
    <w:rsid w:val="00F868EC"/>
    <w:rsid w:val="00FB74F6"/>
    <w:rsid w:val="00FC45BC"/>
    <w:rsid w:val="00FC6EFF"/>
    <w:rsid w:val="00FD5CEA"/>
    <w:rsid w:val="00FE169A"/>
    <w:rsid w:val="160D4A8A"/>
    <w:rsid w:val="4FCA0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semiHidden/>
    <w:unhideWhenUsed/>
    <w:uiPriority w:val="99"/>
    <w:pPr>
      <w:spacing w:after="120"/>
      <w:ind w:left="420" w:leftChars="200"/>
    </w:pPr>
  </w:style>
  <w:style w:type="paragraph" w:styleId="3">
    <w:name w:val="Balloon Text"/>
    <w:basedOn w:val="1"/>
    <w:link w:val="16"/>
    <w:semiHidden/>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Body Text First Indent 2"/>
    <w:basedOn w:val="2"/>
    <w:link w:val="15"/>
    <w:unhideWhenUsed/>
    <w:qFormat/>
    <w:uiPriority w:val="99"/>
    <w:pPr>
      <w:ind w:firstLine="420" w:firstLineChars="200"/>
    </w:pPr>
  </w:style>
  <w:style w:type="table" w:styleId="9">
    <w:name w:val="Table Grid"/>
    <w:basedOn w:val="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Char"/>
    <w:basedOn w:val="10"/>
    <w:link w:val="5"/>
    <w:uiPriority w:val="99"/>
    <w:rPr>
      <w:sz w:val="18"/>
      <w:szCs w:val="18"/>
    </w:rPr>
  </w:style>
  <w:style w:type="character" w:customStyle="1" w:styleId="13">
    <w:name w:val="页脚 Char"/>
    <w:basedOn w:val="10"/>
    <w:link w:val="4"/>
    <w:qFormat/>
    <w:uiPriority w:val="99"/>
    <w:rPr>
      <w:sz w:val="18"/>
      <w:szCs w:val="18"/>
    </w:rPr>
  </w:style>
  <w:style w:type="character" w:customStyle="1" w:styleId="14">
    <w:name w:val="正文文本缩进 Char"/>
    <w:basedOn w:val="10"/>
    <w:link w:val="2"/>
    <w:semiHidden/>
    <w:qFormat/>
    <w:uiPriority w:val="99"/>
    <w:rPr>
      <w:szCs w:val="24"/>
    </w:rPr>
  </w:style>
  <w:style w:type="character" w:customStyle="1" w:styleId="15">
    <w:name w:val="正文首行缩进 2 Char"/>
    <w:basedOn w:val="14"/>
    <w:link w:val="7"/>
    <w:qFormat/>
    <w:uiPriority w:val="99"/>
    <w:rPr>
      <w:szCs w:val="24"/>
    </w:rPr>
  </w:style>
  <w:style w:type="character" w:customStyle="1" w:styleId="16">
    <w:name w:val="批注框文本 Char"/>
    <w:basedOn w:val="10"/>
    <w:link w:val="3"/>
    <w:semiHidden/>
    <w:qFormat/>
    <w:uiPriority w:val="99"/>
    <w:rPr>
      <w:sz w:val="18"/>
      <w:szCs w:val="18"/>
    </w:rPr>
  </w:style>
  <w:style w:type="paragraph" w:styleId="17">
    <w:name w:val="List Paragraph"/>
    <w:basedOn w:val="1"/>
    <w:qFormat/>
    <w:uiPriority w:val="1"/>
    <w:pPr>
      <w:spacing w:before="125"/>
      <w:ind w:left="1255" w:hanging="18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3371</Words>
  <Characters>3549</Characters>
  <Lines>26</Lines>
  <Paragraphs>7</Paragraphs>
  <TotalTime>1</TotalTime>
  <ScaleCrop>false</ScaleCrop>
  <LinksUpToDate>false</LinksUpToDate>
  <CharactersWithSpaces>3561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2025-12-23T10:25:00Z</dcterms:created>
  <dc:creator>何烷桦</dc:creator>
  <cp:lastModifiedBy>伍卓坚</cp:lastModifiedBy>
  <dcterms:modified xsi:type="dcterms:W3CDTF">2025-12-24T16:23:54Z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BB8E0EF63A7B47228E6419AE6987C594_12</vt:lpwstr>
  </property>
  <property fmtid="{D5CDD505-2E9C-101B-9397-08002B2CF9AE}" pid="4" name="KSOTemplateDocerSaveRecord">
    <vt:lpwstr>eyJoZGlkIjoiYTUxMDM2ZmRjMmE2ZWY4NmMzMzJiYTVkYzk3ZjQ2MjciLCJ1c2VySWQiOiIyMjY0NjUzODUifQ==</vt:lpwstr>
  </property>
</Properties>
</file>