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医疗设备项目（编号</w:t>
      </w:r>
      <w:r>
        <w:rPr>
          <w:rFonts w:hint="eastAsia"/>
          <w:b/>
        </w:rPr>
        <w:t>YL2</w:t>
      </w:r>
      <w:r w:rsidR="003A1C57">
        <w:rPr>
          <w:rFonts w:hint="eastAsia"/>
          <w:b/>
        </w:rPr>
        <w:t>5</w:t>
      </w:r>
      <w:r w:rsidR="000F2734">
        <w:rPr>
          <w:rFonts w:hint="eastAsia"/>
          <w:b/>
        </w:rPr>
        <w:t>1</w:t>
      </w:r>
      <w:r w:rsidR="00FC45BC">
        <w:rPr>
          <w:rFonts w:hint="eastAsia"/>
          <w:b/>
        </w:rPr>
        <w:t>4</w:t>
      </w:r>
      <w:bookmarkStart w:id="0" w:name="_GoBack"/>
      <w:bookmarkEnd w:id="0"/>
      <w:r>
        <w:rPr>
          <w:rFonts w:hint="eastAsia"/>
          <w:b/>
        </w:rPr>
        <w:t>）院内采购项目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CC23A4">
            <w:pPr>
              <w:jc w:val="center"/>
            </w:pPr>
            <w:r w:rsidRPr="009768AD">
              <w:rPr>
                <w:rFonts w:hint="eastAsia"/>
              </w:rPr>
              <w:t>YL2</w:t>
            </w:r>
            <w:r w:rsidR="003A1C57">
              <w:rPr>
                <w:rFonts w:hint="eastAsia"/>
              </w:rPr>
              <w:t>5</w:t>
            </w:r>
            <w:r w:rsidR="000F2734">
              <w:rPr>
                <w:rFonts w:hint="eastAsia"/>
              </w:rPr>
              <w:t>1</w:t>
            </w:r>
            <w:r w:rsidR="00CC23A4">
              <w:rPr>
                <w:rFonts w:hint="eastAsia"/>
              </w:rPr>
              <w:t>4</w:t>
            </w:r>
          </w:p>
        </w:tc>
        <w:tc>
          <w:tcPr>
            <w:tcW w:w="1701" w:type="dxa"/>
            <w:vAlign w:val="center"/>
          </w:tcPr>
          <w:p w:rsidR="00E36425" w:rsidRPr="009768AD" w:rsidRDefault="00CC23A4" w:rsidP="006A6624">
            <w:pPr>
              <w:jc w:val="center"/>
            </w:pPr>
            <w:r>
              <w:rPr>
                <w:rFonts w:hint="eastAsia"/>
              </w:rPr>
              <w:t>胎儿母亲动态心电检测仪</w:t>
            </w:r>
          </w:p>
        </w:tc>
        <w:tc>
          <w:tcPr>
            <w:tcW w:w="1077" w:type="dxa"/>
            <w:vAlign w:val="center"/>
          </w:tcPr>
          <w:p w:rsidR="00E36425" w:rsidRPr="009768AD" w:rsidRDefault="00F35112" w:rsidP="00E36425">
            <w:pPr>
              <w:jc w:val="center"/>
            </w:pPr>
            <w:r>
              <w:rPr>
                <w:rFonts w:hint="eastAsia"/>
              </w:rPr>
              <w:t>台</w:t>
            </w:r>
          </w:p>
        </w:tc>
        <w:tc>
          <w:tcPr>
            <w:tcW w:w="1077" w:type="dxa"/>
            <w:vAlign w:val="center"/>
          </w:tcPr>
          <w:p w:rsidR="00E36425" w:rsidRPr="009768AD" w:rsidRDefault="00C30EC5" w:rsidP="00E36425">
            <w:pPr>
              <w:jc w:val="center"/>
            </w:pPr>
            <w:r>
              <w:rPr>
                <w:rFonts w:hint="eastAsia"/>
              </w:rPr>
              <w:t>1</w:t>
            </w:r>
          </w:p>
        </w:tc>
        <w:tc>
          <w:tcPr>
            <w:tcW w:w="1077" w:type="dxa"/>
            <w:vAlign w:val="center"/>
          </w:tcPr>
          <w:p w:rsidR="00E36425" w:rsidRPr="009768AD" w:rsidRDefault="00F35112" w:rsidP="00E36425">
            <w:pPr>
              <w:jc w:val="center"/>
            </w:pPr>
            <w:r>
              <w:rPr>
                <w:rFonts w:hint="eastAsia"/>
              </w:rPr>
              <w:t>29.7</w:t>
            </w:r>
          </w:p>
        </w:tc>
        <w:tc>
          <w:tcPr>
            <w:tcW w:w="1077" w:type="dxa"/>
            <w:vAlign w:val="center"/>
          </w:tcPr>
          <w:p w:rsidR="00E36425" w:rsidRPr="009768AD" w:rsidRDefault="007449A7" w:rsidP="00E36425">
            <w:pPr>
              <w:jc w:val="center"/>
            </w:pPr>
            <w:r>
              <w:rPr>
                <w:rFonts w:hint="eastAsia"/>
              </w:rPr>
              <w:t>29.7</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111C33" w:rsidTr="00C913DB">
              <w:trPr>
                <w:trHeight w:val="567"/>
              </w:trPr>
              <w:tc>
                <w:tcPr>
                  <w:tcW w:w="939" w:type="dxa"/>
                  <w:shd w:val="clear" w:color="auto" w:fill="FDE9D9" w:themeFill="accent6" w:themeFillTint="33"/>
                  <w:vAlign w:val="center"/>
                </w:tcPr>
                <w:p w:rsidR="00111C33" w:rsidRPr="00FC45BC" w:rsidRDefault="00C913DB" w:rsidP="004D533E">
                  <w:pPr>
                    <w:jc w:val="center"/>
                    <w:rPr>
                      <w:rFonts w:asciiTheme="minorEastAsia" w:eastAsiaTheme="minorEastAsia" w:hAnsiTheme="minorEastAsia" w:cs="宋体"/>
                      <w:szCs w:val="21"/>
                    </w:rPr>
                  </w:pPr>
                  <w:r w:rsidRPr="00FC45BC">
                    <w:rPr>
                      <w:rFonts w:asciiTheme="minorEastAsia" w:eastAsiaTheme="minorEastAsia" w:hAnsiTheme="minorEastAsia" w:cs="宋体" w:hint="eastAsia"/>
                      <w:szCs w:val="21"/>
                    </w:rPr>
                    <w:t>★</w:t>
                  </w:r>
                  <w:r w:rsidR="00111C33" w:rsidRPr="00FC45BC">
                    <w:rPr>
                      <w:rFonts w:asciiTheme="minorEastAsia" w:eastAsiaTheme="minorEastAsia" w:hAnsiTheme="minorEastAsia" w:cs="宋体" w:hint="eastAsia"/>
                      <w:b/>
                      <w:kern w:val="0"/>
                      <w:szCs w:val="21"/>
                    </w:rPr>
                    <w:t>1</w:t>
                  </w:r>
                </w:p>
              </w:tc>
              <w:tc>
                <w:tcPr>
                  <w:tcW w:w="6350" w:type="dxa"/>
                  <w:shd w:val="clear" w:color="auto" w:fill="FDE9D9" w:themeFill="accent6" w:themeFillTint="33"/>
                  <w:vAlign w:val="center"/>
                </w:tcPr>
                <w:p w:rsidR="00111C33" w:rsidRPr="00FC45BC" w:rsidRDefault="007449A7"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szCs w:val="21"/>
                    </w:rPr>
                    <w:t>基于母体腹壁胎儿心电监测原理</w:t>
                  </w:r>
                  <w:r w:rsidRPr="00FC45BC">
                    <w:rPr>
                      <w:rFonts w:asciiTheme="minorEastAsia" w:eastAsiaTheme="minorEastAsia" w:hAnsiTheme="minorEastAsia" w:hint="eastAsia"/>
                      <w:szCs w:val="21"/>
                    </w:rPr>
                    <w:t>（</w:t>
                  </w:r>
                  <w:r w:rsidRPr="00FC45BC">
                    <w:rPr>
                      <w:rFonts w:asciiTheme="minorEastAsia" w:eastAsiaTheme="minorEastAsia" w:hAnsiTheme="minorEastAsia" w:hint="eastAsia"/>
                      <w:szCs w:val="21"/>
                    </w:rPr>
                    <w:t>提供产品专利</w:t>
                  </w:r>
                  <w:r w:rsidRPr="00FC45BC">
                    <w:rPr>
                      <w:rFonts w:asciiTheme="minorEastAsia" w:eastAsiaTheme="minorEastAsia" w:hAnsiTheme="minorEastAsia" w:hint="eastAsia"/>
                      <w:szCs w:val="21"/>
                    </w:rPr>
                    <w:t>）</w:t>
                  </w:r>
                </w:p>
              </w:tc>
            </w:tr>
            <w:tr w:rsidR="00111C33" w:rsidTr="00C913DB">
              <w:trPr>
                <w:trHeight w:val="567"/>
              </w:trPr>
              <w:tc>
                <w:tcPr>
                  <w:tcW w:w="939" w:type="dxa"/>
                  <w:shd w:val="clear" w:color="auto" w:fill="FDE9D9" w:themeFill="accent6" w:themeFillTint="33"/>
                  <w:vAlign w:val="center"/>
                </w:tcPr>
                <w:p w:rsidR="00111C33" w:rsidRPr="00FC45BC" w:rsidRDefault="00111C33" w:rsidP="000C7E78">
                  <w:pPr>
                    <w:jc w:val="center"/>
                    <w:rPr>
                      <w:rFonts w:asciiTheme="minorEastAsia" w:eastAsiaTheme="minorEastAsia" w:hAnsiTheme="minorEastAsia" w:cs="宋体"/>
                      <w:b/>
                      <w:kern w:val="0"/>
                      <w:szCs w:val="21"/>
                    </w:rPr>
                  </w:pPr>
                  <w:r w:rsidRPr="00FC45BC">
                    <w:rPr>
                      <w:rFonts w:asciiTheme="minorEastAsia" w:eastAsiaTheme="minorEastAsia" w:hAnsiTheme="minorEastAsia" w:cs="宋体" w:hint="eastAsia"/>
                      <w:szCs w:val="21"/>
                    </w:rPr>
                    <w:t>★</w:t>
                  </w:r>
                  <w:r w:rsidRPr="00FC45BC">
                    <w:rPr>
                      <w:rFonts w:asciiTheme="minorEastAsia" w:eastAsiaTheme="minorEastAsia" w:hAnsiTheme="minorEastAsia" w:cs="宋体" w:hint="eastAsia"/>
                      <w:b/>
                      <w:kern w:val="0"/>
                      <w:szCs w:val="21"/>
                    </w:rPr>
                    <w:t>2</w:t>
                  </w:r>
                </w:p>
              </w:tc>
              <w:tc>
                <w:tcPr>
                  <w:tcW w:w="6350" w:type="dxa"/>
                  <w:shd w:val="clear" w:color="auto" w:fill="FDE9D9" w:themeFill="accent6" w:themeFillTint="33"/>
                  <w:vAlign w:val="center"/>
                </w:tcPr>
                <w:p w:rsidR="00111C33" w:rsidRPr="00FC45BC" w:rsidRDefault="00FC45BC" w:rsidP="00FC45BC">
                  <w:pPr>
                    <w:spacing w:line="360" w:lineRule="auto"/>
                    <w:rPr>
                      <w:rFonts w:asciiTheme="minorEastAsia" w:eastAsiaTheme="minorEastAsia" w:hAnsiTheme="minorEastAsia"/>
                      <w:szCs w:val="21"/>
                    </w:rPr>
                  </w:pPr>
                  <w:r w:rsidRPr="00FC45BC">
                    <w:rPr>
                      <w:rFonts w:asciiTheme="minorEastAsia" w:eastAsiaTheme="minorEastAsia" w:hAnsiTheme="minorEastAsia" w:hint="eastAsia"/>
                      <w:szCs w:val="21"/>
                    </w:rPr>
                    <w:t>采用子宫</w:t>
                  </w:r>
                  <w:proofErr w:type="gramStart"/>
                  <w:r w:rsidRPr="00FC45BC">
                    <w:rPr>
                      <w:rFonts w:asciiTheme="minorEastAsia" w:eastAsiaTheme="minorEastAsia" w:hAnsiTheme="minorEastAsia" w:hint="eastAsia"/>
                      <w:szCs w:val="21"/>
                    </w:rPr>
                    <w:t>肌</w:t>
                  </w:r>
                  <w:proofErr w:type="gramEnd"/>
                  <w:r w:rsidRPr="00FC45BC">
                    <w:rPr>
                      <w:rFonts w:asciiTheme="minorEastAsia" w:eastAsiaTheme="minorEastAsia" w:hAnsiTheme="minorEastAsia" w:hint="eastAsia"/>
                      <w:szCs w:val="21"/>
                    </w:rPr>
                    <w:t>电信号原理测量的宫缩压力的测量范围及幅度范围精度</w:t>
                  </w:r>
                  <w:r w:rsidRPr="00FC45BC">
                    <w:rPr>
                      <w:rFonts w:asciiTheme="minorEastAsia" w:eastAsiaTheme="minorEastAsia" w:hAnsiTheme="minorEastAsia" w:hint="eastAsia"/>
                      <w:szCs w:val="21"/>
                    </w:rPr>
                    <w:t>：</w:t>
                  </w:r>
                  <w:r w:rsidRPr="00FC45BC">
                    <w:rPr>
                      <w:rFonts w:asciiTheme="minorEastAsia" w:eastAsiaTheme="minorEastAsia" w:hAnsiTheme="minorEastAsia" w:hint="eastAsia"/>
                      <w:szCs w:val="21"/>
                    </w:rPr>
                    <w:t>0～100（单位：%）±5（单位：%）</w:t>
                  </w:r>
                </w:p>
              </w:tc>
            </w:tr>
            <w:tr w:rsidR="00111C33" w:rsidTr="00C913DB">
              <w:trPr>
                <w:trHeight w:val="567"/>
              </w:trPr>
              <w:tc>
                <w:tcPr>
                  <w:tcW w:w="939" w:type="dxa"/>
                  <w:shd w:val="clear" w:color="auto" w:fill="FDE9D9" w:themeFill="accent6" w:themeFillTint="33"/>
                  <w:vAlign w:val="center"/>
                </w:tcPr>
                <w:p w:rsidR="00111C33" w:rsidRPr="00FC45BC" w:rsidRDefault="00C913DB" w:rsidP="000C7E78">
                  <w:pPr>
                    <w:jc w:val="center"/>
                    <w:rPr>
                      <w:rFonts w:asciiTheme="minorEastAsia" w:eastAsiaTheme="minorEastAsia" w:hAnsiTheme="minorEastAsia"/>
                      <w:szCs w:val="21"/>
                    </w:rPr>
                  </w:pPr>
                  <w:r w:rsidRPr="00FC45BC">
                    <w:rPr>
                      <w:rFonts w:asciiTheme="minorEastAsia" w:eastAsiaTheme="minorEastAsia" w:hAnsiTheme="minorEastAsia" w:cs="宋体" w:hint="eastAsia"/>
                      <w:szCs w:val="21"/>
                    </w:rPr>
                    <w:t>★</w:t>
                  </w:r>
                  <w:r w:rsidR="00111C33" w:rsidRPr="00FC45BC">
                    <w:rPr>
                      <w:rFonts w:asciiTheme="minorEastAsia" w:eastAsiaTheme="minorEastAsia" w:hAnsiTheme="minorEastAsia" w:cs="Arial" w:hint="eastAsia"/>
                      <w:szCs w:val="21"/>
                    </w:rPr>
                    <w:t>3</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支持母体运动干扰检测及预警功能</w:t>
                  </w:r>
                </w:p>
              </w:tc>
            </w:tr>
            <w:tr w:rsidR="00111C33" w:rsidTr="00C913DB">
              <w:trPr>
                <w:trHeight w:val="567"/>
              </w:trPr>
              <w:tc>
                <w:tcPr>
                  <w:tcW w:w="939" w:type="dxa"/>
                  <w:shd w:val="clear" w:color="auto" w:fill="FDE9D9" w:themeFill="accent6" w:themeFillTint="33"/>
                  <w:vAlign w:val="center"/>
                </w:tcPr>
                <w:p w:rsidR="00111C33" w:rsidRPr="00FC45BC" w:rsidRDefault="007449A7" w:rsidP="000C7E78">
                  <w:pPr>
                    <w:jc w:val="center"/>
                    <w:rPr>
                      <w:rFonts w:asciiTheme="minorEastAsia" w:eastAsiaTheme="minorEastAsia" w:hAnsiTheme="minorEastAsia" w:cs="Arial"/>
                      <w:szCs w:val="21"/>
                    </w:rPr>
                  </w:pPr>
                  <w:r w:rsidRPr="00FC45BC">
                    <w:rPr>
                      <w:rFonts w:asciiTheme="minorEastAsia" w:eastAsiaTheme="minorEastAsia" w:hAnsiTheme="minorEastAsia" w:cs="宋体" w:hint="eastAsia"/>
                      <w:szCs w:val="21"/>
                    </w:rPr>
                    <w:t>★</w:t>
                  </w:r>
                  <w:r w:rsidR="00111C33" w:rsidRPr="00FC45BC">
                    <w:rPr>
                      <w:rFonts w:asciiTheme="minorEastAsia" w:eastAsiaTheme="minorEastAsia" w:hAnsiTheme="minorEastAsia" w:cs="Arial" w:hint="eastAsia"/>
                      <w:szCs w:val="21"/>
                    </w:rPr>
                    <w:t>4</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宫缩曲线和四通道子宫肌电波形同屏实时及回顾显示</w:t>
                  </w:r>
                </w:p>
              </w:tc>
            </w:tr>
            <w:tr w:rsidR="00111C33" w:rsidTr="00C913DB">
              <w:trPr>
                <w:trHeight w:val="567"/>
              </w:trPr>
              <w:tc>
                <w:tcPr>
                  <w:tcW w:w="939" w:type="dxa"/>
                  <w:shd w:val="clear" w:color="auto" w:fill="FDE9D9" w:themeFill="accent6" w:themeFillTint="33"/>
                  <w:vAlign w:val="center"/>
                </w:tcPr>
                <w:p w:rsidR="00111C33" w:rsidRPr="00FC45BC" w:rsidRDefault="007449A7" w:rsidP="000C7E78">
                  <w:pPr>
                    <w:jc w:val="center"/>
                    <w:rPr>
                      <w:rFonts w:asciiTheme="minorEastAsia" w:eastAsiaTheme="minorEastAsia" w:hAnsiTheme="minorEastAsia" w:cs="Arial"/>
                      <w:szCs w:val="21"/>
                    </w:rPr>
                  </w:pPr>
                  <w:r w:rsidRPr="00FC45BC">
                    <w:rPr>
                      <w:rFonts w:asciiTheme="minorEastAsia" w:eastAsiaTheme="minorEastAsia" w:hAnsiTheme="minorEastAsia" w:cs="宋体" w:hint="eastAsia"/>
                      <w:szCs w:val="21"/>
                    </w:rPr>
                    <w:t>★</w:t>
                  </w:r>
                  <w:r w:rsidR="00111C33" w:rsidRPr="00FC45BC">
                    <w:rPr>
                      <w:rFonts w:asciiTheme="minorEastAsia" w:eastAsiaTheme="minorEastAsia" w:hAnsiTheme="minorEastAsia" w:cs="Arial" w:hint="eastAsia"/>
                      <w:szCs w:val="21"/>
                    </w:rPr>
                    <w:t>5</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具有子宫肌电监测专业界面及报告，支持宫缩自动识别和标识</w:t>
                  </w:r>
                  <w:r w:rsidRPr="00FC45BC">
                    <w:rPr>
                      <w:rFonts w:asciiTheme="minorEastAsia" w:eastAsiaTheme="minorEastAsia" w:hAnsiTheme="minorEastAsia" w:hint="eastAsia"/>
                      <w:szCs w:val="21"/>
                    </w:rPr>
                    <w:t>（</w:t>
                  </w:r>
                  <w:r w:rsidRPr="00FC45BC">
                    <w:rPr>
                      <w:rFonts w:asciiTheme="minorEastAsia" w:eastAsiaTheme="minorEastAsia" w:hAnsiTheme="minorEastAsia" w:hint="eastAsia"/>
                      <w:szCs w:val="21"/>
                    </w:rPr>
                    <w:t>提供软件界面</w:t>
                  </w:r>
                  <w:r w:rsidRPr="00FC45BC">
                    <w:rPr>
                      <w:rFonts w:asciiTheme="minorEastAsia" w:eastAsiaTheme="minorEastAsia" w:hAnsiTheme="minorEastAsia" w:hint="eastAsia"/>
                      <w:szCs w:val="21"/>
                    </w:rPr>
                    <w:t>）</w:t>
                  </w:r>
                </w:p>
              </w:tc>
            </w:tr>
            <w:tr w:rsidR="00111C33" w:rsidTr="00C913DB">
              <w:trPr>
                <w:trHeight w:val="567"/>
              </w:trPr>
              <w:tc>
                <w:tcPr>
                  <w:tcW w:w="939" w:type="dxa"/>
                  <w:shd w:val="clear" w:color="auto" w:fill="FDE9D9" w:themeFill="accent6" w:themeFillTint="33"/>
                  <w:vAlign w:val="center"/>
                </w:tcPr>
                <w:p w:rsidR="00111C33" w:rsidRPr="00FC45BC" w:rsidRDefault="007449A7" w:rsidP="000C7E78">
                  <w:pPr>
                    <w:jc w:val="center"/>
                    <w:rPr>
                      <w:rFonts w:asciiTheme="minorEastAsia" w:eastAsiaTheme="minorEastAsia" w:hAnsiTheme="minorEastAsia" w:cs="Arial"/>
                      <w:szCs w:val="21"/>
                    </w:rPr>
                  </w:pPr>
                  <w:r w:rsidRPr="00FC45BC">
                    <w:rPr>
                      <w:rFonts w:asciiTheme="minorEastAsia" w:eastAsiaTheme="minorEastAsia" w:hAnsiTheme="minorEastAsia" w:cs="宋体" w:hint="eastAsia"/>
                      <w:szCs w:val="21"/>
                    </w:rPr>
                    <w:t>★</w:t>
                  </w:r>
                  <w:r w:rsidR="00111C33" w:rsidRPr="00FC45BC">
                    <w:rPr>
                      <w:rFonts w:asciiTheme="minorEastAsia" w:eastAsiaTheme="minorEastAsia" w:hAnsiTheme="minorEastAsia" w:cs="Arial" w:hint="eastAsia"/>
                      <w:szCs w:val="21"/>
                    </w:rPr>
                    <w:t>6</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支持升级专业宫缩检查报告，支持宫缩参数计算及趋势图谱分析</w:t>
                  </w:r>
                  <w:r w:rsidRPr="00FC45BC">
                    <w:rPr>
                      <w:rFonts w:asciiTheme="minorEastAsia" w:eastAsiaTheme="minorEastAsia" w:hAnsiTheme="minorEastAsia" w:hint="eastAsia"/>
                      <w:szCs w:val="21"/>
                    </w:rPr>
                    <w:t>（</w:t>
                  </w:r>
                  <w:r w:rsidRPr="00FC45BC">
                    <w:rPr>
                      <w:rFonts w:asciiTheme="minorEastAsia" w:eastAsiaTheme="minorEastAsia" w:hAnsiTheme="minorEastAsia" w:hint="eastAsia"/>
                      <w:szCs w:val="21"/>
                    </w:rPr>
                    <w:t>提供软件界面</w:t>
                  </w:r>
                  <w:r w:rsidRPr="00FC45BC">
                    <w:rPr>
                      <w:rFonts w:asciiTheme="minorEastAsia" w:eastAsiaTheme="minorEastAsia" w:hAnsiTheme="minorEastAsia" w:hint="eastAsia"/>
                      <w:szCs w:val="21"/>
                    </w:rPr>
                    <w:t>）</w:t>
                  </w:r>
                </w:p>
              </w:tc>
            </w:tr>
            <w:tr w:rsidR="00111C33" w:rsidTr="00C913DB">
              <w:trPr>
                <w:trHeight w:val="567"/>
              </w:trPr>
              <w:tc>
                <w:tcPr>
                  <w:tcW w:w="939" w:type="dxa"/>
                  <w:shd w:val="clear" w:color="auto" w:fill="FDE9D9" w:themeFill="accent6" w:themeFillTint="33"/>
                  <w:vAlign w:val="center"/>
                </w:tcPr>
                <w:p w:rsidR="00111C33" w:rsidRPr="00FC45BC" w:rsidRDefault="00C913DB" w:rsidP="000C7E78">
                  <w:pPr>
                    <w:jc w:val="center"/>
                    <w:rPr>
                      <w:rFonts w:asciiTheme="minorEastAsia" w:eastAsiaTheme="minorEastAsia" w:hAnsiTheme="minorEastAsia" w:cs="Arial"/>
                      <w:szCs w:val="21"/>
                    </w:rPr>
                  </w:pPr>
                  <w:r w:rsidRPr="00FC45BC">
                    <w:rPr>
                      <w:rFonts w:asciiTheme="minorEastAsia" w:eastAsiaTheme="minorEastAsia" w:hAnsiTheme="minorEastAsia" w:cs="宋体" w:hint="eastAsia"/>
                      <w:szCs w:val="21"/>
                    </w:rPr>
                    <w:t>▲</w:t>
                  </w:r>
                  <w:r w:rsidR="00111C33" w:rsidRPr="00FC45BC">
                    <w:rPr>
                      <w:rFonts w:asciiTheme="minorEastAsia" w:eastAsiaTheme="minorEastAsia" w:hAnsiTheme="minorEastAsia" w:cs="Arial" w:hint="eastAsia"/>
                      <w:szCs w:val="21"/>
                    </w:rPr>
                    <w:t>7</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21.5英寸医用级电脑，0-90度多角度旋转</w:t>
                  </w:r>
                </w:p>
              </w:tc>
            </w:tr>
            <w:tr w:rsidR="00111C33" w:rsidTr="00C913DB">
              <w:trPr>
                <w:trHeight w:val="567"/>
              </w:trPr>
              <w:tc>
                <w:tcPr>
                  <w:tcW w:w="939" w:type="dxa"/>
                  <w:shd w:val="clear" w:color="auto" w:fill="FDE9D9" w:themeFill="accent6" w:themeFillTint="33"/>
                  <w:vAlign w:val="center"/>
                </w:tcPr>
                <w:p w:rsidR="00111C33" w:rsidRPr="00FC45BC" w:rsidRDefault="00FC45BC" w:rsidP="000C7E78">
                  <w:pPr>
                    <w:jc w:val="center"/>
                    <w:rPr>
                      <w:rFonts w:asciiTheme="minorEastAsia" w:eastAsiaTheme="minorEastAsia" w:hAnsiTheme="minorEastAsia" w:cs="Arial"/>
                      <w:szCs w:val="21"/>
                    </w:rPr>
                  </w:pPr>
                  <w:r w:rsidRPr="00FC45BC">
                    <w:rPr>
                      <w:rFonts w:asciiTheme="minorEastAsia" w:eastAsiaTheme="minorEastAsia" w:hAnsiTheme="minorEastAsia" w:cs="宋体" w:hint="eastAsia"/>
                      <w:szCs w:val="21"/>
                    </w:rPr>
                    <w:t>▲</w:t>
                  </w:r>
                  <w:r w:rsidR="00111C33" w:rsidRPr="00FC45BC">
                    <w:rPr>
                      <w:rFonts w:asciiTheme="minorEastAsia" w:eastAsiaTheme="minorEastAsia" w:hAnsiTheme="minorEastAsia" w:cs="Arial" w:hint="eastAsia"/>
                      <w:szCs w:val="21"/>
                    </w:rPr>
                    <w:t>8</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color w:val="000000"/>
                      <w:szCs w:val="21"/>
                    </w:rPr>
                    <w:t>探头与主机通过无线</w:t>
                  </w:r>
                  <w:proofErr w:type="spellStart"/>
                  <w:r w:rsidRPr="00FC45BC">
                    <w:rPr>
                      <w:rFonts w:asciiTheme="minorEastAsia" w:eastAsiaTheme="minorEastAsia" w:hAnsiTheme="minorEastAsia"/>
                      <w:color w:val="000000"/>
                      <w:szCs w:val="21"/>
                    </w:rPr>
                    <w:t>WiFi</w:t>
                  </w:r>
                  <w:proofErr w:type="spellEnd"/>
                  <w:r w:rsidRPr="00FC45BC">
                    <w:rPr>
                      <w:rFonts w:asciiTheme="minorEastAsia" w:eastAsiaTheme="minorEastAsia" w:hAnsiTheme="minorEastAsia"/>
                      <w:color w:val="000000"/>
                      <w:szCs w:val="21"/>
                    </w:rPr>
                    <w:t>的方式连接，传输明视距离</w:t>
                  </w:r>
                  <w:r w:rsidRPr="00FC45BC">
                    <w:rPr>
                      <w:rFonts w:asciiTheme="minorEastAsia" w:eastAsiaTheme="minorEastAsia" w:hAnsiTheme="minorEastAsia" w:hint="eastAsia"/>
                      <w:color w:val="000000"/>
                      <w:szCs w:val="21"/>
                    </w:rPr>
                    <w:t>：</w:t>
                  </w:r>
                  <w:r w:rsidRPr="00FC45BC">
                    <w:rPr>
                      <w:rFonts w:asciiTheme="minorEastAsia" w:eastAsiaTheme="minorEastAsia" w:hAnsiTheme="minorEastAsia"/>
                      <w:color w:val="000000"/>
                      <w:szCs w:val="21"/>
                    </w:rPr>
                    <w:t>＞20m</w:t>
                  </w:r>
                </w:p>
              </w:tc>
            </w:tr>
            <w:tr w:rsidR="00111C33" w:rsidTr="00C913DB">
              <w:trPr>
                <w:trHeight w:val="567"/>
              </w:trPr>
              <w:tc>
                <w:tcPr>
                  <w:tcW w:w="939" w:type="dxa"/>
                  <w:shd w:val="clear" w:color="auto" w:fill="FDE9D9" w:themeFill="accent6" w:themeFillTint="33"/>
                  <w:vAlign w:val="center"/>
                </w:tcPr>
                <w:p w:rsidR="00111C33" w:rsidRPr="00FC45BC" w:rsidRDefault="00FC45BC" w:rsidP="000C7E78">
                  <w:pPr>
                    <w:jc w:val="center"/>
                    <w:rPr>
                      <w:rFonts w:asciiTheme="minorEastAsia" w:eastAsiaTheme="minorEastAsia" w:hAnsiTheme="minorEastAsia" w:cs="Arial"/>
                      <w:szCs w:val="21"/>
                    </w:rPr>
                  </w:pPr>
                  <w:r w:rsidRPr="00FC45BC">
                    <w:rPr>
                      <w:rFonts w:asciiTheme="minorEastAsia" w:eastAsiaTheme="minorEastAsia" w:hAnsiTheme="minorEastAsia" w:cs="宋体" w:hint="eastAsia"/>
                      <w:szCs w:val="21"/>
                    </w:rPr>
                    <w:t>▲</w:t>
                  </w:r>
                  <w:r w:rsidR="00111C33" w:rsidRPr="00FC45BC">
                    <w:rPr>
                      <w:rFonts w:asciiTheme="minorEastAsia" w:eastAsiaTheme="minorEastAsia" w:hAnsiTheme="minorEastAsia" w:cs="Arial" w:hint="eastAsia"/>
                      <w:szCs w:val="21"/>
                    </w:rPr>
                    <w:t>9</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探头无线充电，续航时间</w:t>
                  </w:r>
                  <w:r w:rsidRPr="00FC45BC">
                    <w:rPr>
                      <w:rFonts w:asciiTheme="minorEastAsia" w:eastAsiaTheme="minorEastAsia" w:hAnsiTheme="minorEastAsia" w:hint="eastAsia"/>
                      <w:szCs w:val="21"/>
                    </w:rPr>
                    <w:t>：</w:t>
                  </w:r>
                  <w:r w:rsidRPr="00FC45BC">
                    <w:rPr>
                      <w:rFonts w:asciiTheme="minorEastAsia" w:eastAsiaTheme="minorEastAsia" w:hAnsiTheme="minorEastAsia" w:hint="eastAsia"/>
                      <w:szCs w:val="21"/>
                    </w:rPr>
                    <w:t>≥8h</w:t>
                  </w:r>
                </w:p>
              </w:tc>
            </w:tr>
            <w:tr w:rsidR="00111C33" w:rsidTr="00C913DB">
              <w:trPr>
                <w:trHeight w:val="567"/>
              </w:trPr>
              <w:tc>
                <w:tcPr>
                  <w:tcW w:w="939" w:type="dxa"/>
                  <w:shd w:val="clear" w:color="auto" w:fill="FDE9D9" w:themeFill="accent6" w:themeFillTint="33"/>
                  <w:vAlign w:val="center"/>
                </w:tcPr>
                <w:p w:rsidR="00111C33" w:rsidRPr="00FC45BC" w:rsidRDefault="00FC45BC" w:rsidP="000C7E78">
                  <w:pPr>
                    <w:jc w:val="center"/>
                    <w:rPr>
                      <w:rFonts w:asciiTheme="minorEastAsia" w:eastAsiaTheme="minorEastAsia" w:hAnsiTheme="minorEastAsia" w:cs="Arial"/>
                      <w:szCs w:val="21"/>
                    </w:rPr>
                  </w:pPr>
                  <w:r w:rsidRPr="00FC45BC">
                    <w:rPr>
                      <w:rFonts w:asciiTheme="minorEastAsia" w:eastAsiaTheme="minorEastAsia" w:hAnsiTheme="minorEastAsia" w:cs="宋体" w:hint="eastAsia"/>
                      <w:szCs w:val="21"/>
                    </w:rPr>
                    <w:t>▲</w:t>
                  </w:r>
                  <w:r w:rsidR="00111C33" w:rsidRPr="00FC45BC">
                    <w:rPr>
                      <w:rFonts w:asciiTheme="minorEastAsia" w:eastAsiaTheme="minorEastAsia" w:hAnsiTheme="minorEastAsia" w:cs="Arial" w:hint="eastAsia"/>
                      <w:szCs w:val="21"/>
                    </w:rPr>
                    <w:t>10</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探头自由入坞充电，更好的用户体验</w:t>
                  </w:r>
                </w:p>
              </w:tc>
            </w:tr>
            <w:tr w:rsidR="00111C33" w:rsidTr="00C913DB">
              <w:trPr>
                <w:trHeight w:val="567"/>
              </w:trPr>
              <w:tc>
                <w:tcPr>
                  <w:tcW w:w="939" w:type="dxa"/>
                  <w:shd w:val="clear" w:color="auto" w:fill="FDE9D9" w:themeFill="accent6" w:themeFillTint="33"/>
                  <w:vAlign w:val="center"/>
                </w:tcPr>
                <w:p w:rsidR="00111C33" w:rsidRPr="00FC45BC" w:rsidRDefault="00111C33" w:rsidP="000C7E78">
                  <w:pPr>
                    <w:jc w:val="center"/>
                    <w:rPr>
                      <w:rFonts w:asciiTheme="minorEastAsia" w:eastAsiaTheme="minorEastAsia" w:hAnsiTheme="minorEastAsia" w:cs="Arial"/>
                      <w:szCs w:val="21"/>
                    </w:rPr>
                  </w:pPr>
                  <w:r w:rsidRPr="00FC45BC">
                    <w:rPr>
                      <w:rFonts w:asciiTheme="minorEastAsia" w:eastAsiaTheme="minorEastAsia" w:hAnsiTheme="minorEastAsia" w:cs="Arial" w:hint="eastAsia"/>
                      <w:szCs w:val="21"/>
                    </w:rPr>
                    <w:t>11</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探头IP68防护等级，更易无死角清洁消毒</w:t>
                  </w:r>
                </w:p>
              </w:tc>
            </w:tr>
            <w:tr w:rsidR="00111C33" w:rsidTr="00C913DB">
              <w:trPr>
                <w:trHeight w:val="567"/>
              </w:trPr>
              <w:tc>
                <w:tcPr>
                  <w:tcW w:w="939" w:type="dxa"/>
                  <w:shd w:val="clear" w:color="auto" w:fill="FDE9D9" w:themeFill="accent6" w:themeFillTint="33"/>
                  <w:vAlign w:val="center"/>
                </w:tcPr>
                <w:p w:rsidR="00111C33" w:rsidRPr="00FC45BC" w:rsidRDefault="00111C33" w:rsidP="000C7E78">
                  <w:pPr>
                    <w:jc w:val="center"/>
                    <w:rPr>
                      <w:rFonts w:asciiTheme="minorEastAsia" w:eastAsiaTheme="minorEastAsia" w:hAnsiTheme="minorEastAsia" w:cs="Arial"/>
                      <w:szCs w:val="21"/>
                    </w:rPr>
                  </w:pPr>
                  <w:r w:rsidRPr="00FC45BC">
                    <w:rPr>
                      <w:rFonts w:asciiTheme="minorEastAsia" w:eastAsiaTheme="minorEastAsia" w:hAnsiTheme="minorEastAsia" w:cs="Arial" w:hint="eastAsia"/>
                      <w:szCs w:val="21"/>
                    </w:rPr>
                    <w:t>12</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支持15min断线续传，长时间监护过程中，孕妇可以起身走动、去卫生间让监测更轻松自在，没有束缚</w:t>
                  </w:r>
                </w:p>
              </w:tc>
            </w:tr>
            <w:tr w:rsidR="00111C33" w:rsidTr="00C913DB">
              <w:trPr>
                <w:trHeight w:val="567"/>
              </w:trPr>
              <w:tc>
                <w:tcPr>
                  <w:tcW w:w="939" w:type="dxa"/>
                  <w:shd w:val="clear" w:color="auto" w:fill="FDE9D9" w:themeFill="accent6" w:themeFillTint="33"/>
                  <w:vAlign w:val="center"/>
                </w:tcPr>
                <w:p w:rsidR="00111C33" w:rsidRPr="00FC45BC" w:rsidRDefault="00111C33" w:rsidP="000C7E78">
                  <w:pPr>
                    <w:jc w:val="center"/>
                    <w:rPr>
                      <w:rFonts w:asciiTheme="minorEastAsia" w:eastAsiaTheme="minorEastAsia" w:hAnsiTheme="minorEastAsia" w:cs="Arial"/>
                      <w:szCs w:val="21"/>
                    </w:rPr>
                  </w:pPr>
                  <w:r w:rsidRPr="00FC45BC">
                    <w:rPr>
                      <w:rFonts w:asciiTheme="minorEastAsia" w:eastAsiaTheme="minorEastAsia" w:hAnsiTheme="minorEastAsia" w:cs="Arial" w:hint="eastAsia"/>
                      <w:szCs w:val="21"/>
                    </w:rPr>
                    <w:t>13</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支持胎心率与母亲心率信号重合报警功能</w:t>
                  </w:r>
                </w:p>
              </w:tc>
            </w:tr>
            <w:tr w:rsidR="00111C33" w:rsidTr="00C913DB">
              <w:trPr>
                <w:trHeight w:val="567"/>
              </w:trPr>
              <w:tc>
                <w:tcPr>
                  <w:tcW w:w="939" w:type="dxa"/>
                  <w:shd w:val="clear" w:color="auto" w:fill="FDE9D9" w:themeFill="accent6" w:themeFillTint="33"/>
                  <w:vAlign w:val="center"/>
                </w:tcPr>
                <w:p w:rsidR="00111C33" w:rsidRPr="00FC45BC" w:rsidRDefault="00111C33" w:rsidP="000C7E78">
                  <w:pPr>
                    <w:jc w:val="center"/>
                    <w:rPr>
                      <w:rFonts w:asciiTheme="minorEastAsia" w:eastAsiaTheme="minorEastAsia" w:hAnsiTheme="minorEastAsia" w:cs="Arial"/>
                      <w:szCs w:val="21"/>
                    </w:rPr>
                  </w:pPr>
                  <w:r w:rsidRPr="00FC45BC">
                    <w:rPr>
                      <w:rFonts w:asciiTheme="minorEastAsia" w:eastAsiaTheme="minorEastAsia" w:hAnsiTheme="minorEastAsia" w:cs="Arial" w:hint="eastAsia"/>
                      <w:szCs w:val="21"/>
                    </w:rPr>
                    <w:lastRenderedPageBreak/>
                    <w:t>14</w:t>
                  </w:r>
                </w:p>
              </w:tc>
              <w:tc>
                <w:tcPr>
                  <w:tcW w:w="6350" w:type="dxa"/>
                  <w:shd w:val="clear" w:color="auto" w:fill="FDE9D9" w:themeFill="accent6" w:themeFillTint="33"/>
                  <w:vAlign w:val="center"/>
                </w:tcPr>
                <w:p w:rsidR="00111C33" w:rsidRPr="00FC45BC" w:rsidRDefault="00FC45BC" w:rsidP="00C913DB">
                  <w:pPr>
                    <w:spacing w:line="240" w:lineRule="atLeast"/>
                    <w:rPr>
                      <w:rFonts w:asciiTheme="minorEastAsia" w:eastAsiaTheme="minorEastAsia" w:hAnsiTheme="minorEastAsia"/>
                      <w:kern w:val="0"/>
                      <w:szCs w:val="21"/>
                    </w:rPr>
                  </w:pPr>
                  <w:r w:rsidRPr="00FC45BC">
                    <w:rPr>
                      <w:rFonts w:asciiTheme="minorEastAsia" w:eastAsiaTheme="minorEastAsia" w:hAnsiTheme="minorEastAsia" w:hint="eastAsia"/>
                      <w:szCs w:val="21"/>
                    </w:rPr>
                    <w:t>可显示母亲心率、胎儿心率、胎动、宫缩数值</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w:t>
            </w:r>
            <w:r>
              <w:rPr>
                <w:rFonts w:hint="eastAsia"/>
              </w:rPr>
              <w:lastRenderedPageBreak/>
              <w:t>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lastRenderedPageBreak/>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w:t>
            </w:r>
            <w:r>
              <w:rPr>
                <w:rFonts w:hint="eastAsia"/>
                <w:bCs/>
                <w:szCs w:val="21"/>
              </w:rPr>
              <w:lastRenderedPageBreak/>
              <w:t>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sectPr w:rsidR="00647249"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D39" w:rsidRDefault="003F3D39" w:rsidP="00723790">
      <w:r>
        <w:separator/>
      </w:r>
    </w:p>
  </w:endnote>
  <w:endnote w:type="continuationSeparator" w:id="0">
    <w:p w:rsidR="003F3D39" w:rsidRDefault="003F3D39"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D39" w:rsidRDefault="003F3D39" w:rsidP="00723790">
      <w:r>
        <w:separator/>
      </w:r>
    </w:p>
  </w:footnote>
  <w:footnote w:type="continuationSeparator" w:id="0">
    <w:p w:rsidR="003F3D39" w:rsidRDefault="003F3D39"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61668538"/>
    <w:multiLevelType w:val="singleLevel"/>
    <w:tmpl w:val="6166853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A350B"/>
    <w:rsid w:val="001B20EF"/>
    <w:rsid w:val="001C10CE"/>
    <w:rsid w:val="001D52B0"/>
    <w:rsid w:val="001D5C7E"/>
    <w:rsid w:val="001F4128"/>
    <w:rsid w:val="00232E4B"/>
    <w:rsid w:val="002404B3"/>
    <w:rsid w:val="00260911"/>
    <w:rsid w:val="002C2158"/>
    <w:rsid w:val="003031D2"/>
    <w:rsid w:val="00311E7F"/>
    <w:rsid w:val="003536ED"/>
    <w:rsid w:val="00353A1C"/>
    <w:rsid w:val="00355391"/>
    <w:rsid w:val="00392AD1"/>
    <w:rsid w:val="003A1C57"/>
    <w:rsid w:val="003B5BBD"/>
    <w:rsid w:val="003C700F"/>
    <w:rsid w:val="003E33C7"/>
    <w:rsid w:val="003F3D39"/>
    <w:rsid w:val="004271D6"/>
    <w:rsid w:val="00430231"/>
    <w:rsid w:val="0045573B"/>
    <w:rsid w:val="004901B0"/>
    <w:rsid w:val="004D533E"/>
    <w:rsid w:val="004E1053"/>
    <w:rsid w:val="004F127F"/>
    <w:rsid w:val="004F3F45"/>
    <w:rsid w:val="00502107"/>
    <w:rsid w:val="005024DE"/>
    <w:rsid w:val="00510DE3"/>
    <w:rsid w:val="00543040"/>
    <w:rsid w:val="005441B4"/>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74D09"/>
    <w:rsid w:val="00C913DB"/>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6D6A"/>
    <w:rsid w:val="00E160E1"/>
    <w:rsid w:val="00E36425"/>
    <w:rsid w:val="00E63EF0"/>
    <w:rsid w:val="00E749A3"/>
    <w:rsid w:val="00E76FC9"/>
    <w:rsid w:val="00E87C42"/>
    <w:rsid w:val="00EC4A4C"/>
    <w:rsid w:val="00F0111E"/>
    <w:rsid w:val="00F06225"/>
    <w:rsid w:val="00F35112"/>
    <w:rsid w:val="00F7023F"/>
    <w:rsid w:val="00F72C24"/>
    <w:rsid w:val="00F86435"/>
    <w:rsid w:val="00F868EC"/>
    <w:rsid w:val="00FB74F6"/>
    <w:rsid w:val="00FC45BC"/>
    <w:rsid w:val="00FC6EFF"/>
    <w:rsid w:val="00FD5CEA"/>
    <w:rsid w:val="00FE169A"/>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450</Words>
  <Characters>2565</Characters>
  <Application>Microsoft Office Word</Application>
  <DocSecurity>0</DocSecurity>
  <Lines>21</Lines>
  <Paragraphs>6</Paragraphs>
  <ScaleCrop>false</ScaleCrop>
  <Company>Microsoft</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2025-12-01T01:14:00Z</dcterms:created>
  <dcterms:modified xsi:type="dcterms:W3CDTF">2025-12-01T01:14:00Z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