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5C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36"/>
          <w:szCs w:val="36"/>
          <w:lang w:eastAsia="zh-CN"/>
        </w:rPr>
      </w:pPr>
      <w:r>
        <w:rPr>
          <w:rFonts w:hint="eastAsia" w:ascii="方正小标宋简体" w:hAnsi="宋体" w:eastAsia="方正小标宋简体" w:cs="宋体"/>
          <w:kern w:val="0"/>
          <w:sz w:val="36"/>
          <w:szCs w:val="36"/>
          <w:highlight w:val="none"/>
        </w:rPr>
        <w:t>排污系统环境检验检测服务项目</w:t>
      </w:r>
      <w:bookmarkStart w:id="0" w:name="_GoBack"/>
      <w:bookmarkEnd w:id="0"/>
      <w:r>
        <w:rPr>
          <w:rFonts w:hint="eastAsia" w:ascii="方正小标宋简体" w:hAnsi="宋体" w:eastAsia="方正小标宋简体" w:cs="宋体"/>
          <w:kern w:val="0"/>
          <w:sz w:val="36"/>
          <w:szCs w:val="36"/>
          <w:highlight w:val="none"/>
        </w:rPr>
        <w:t>（HQ251210）</w:t>
      </w:r>
    </w:p>
    <w:tbl>
      <w:tblPr>
        <w:tblStyle w:val="8"/>
        <w:tblW w:w="10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950"/>
        <w:gridCol w:w="6483"/>
        <w:gridCol w:w="676"/>
        <w:gridCol w:w="1040"/>
        <w:gridCol w:w="1041"/>
      </w:tblGrid>
      <w:tr w14:paraId="3776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vMerge w:val="restart"/>
            <w:tcBorders>
              <w:tl2br w:val="nil"/>
              <w:tr2bl w:val="nil"/>
            </w:tcBorders>
            <w:shd w:val="clear" w:color="auto" w:fill="D9D9D9"/>
            <w:noWrap w:val="0"/>
            <w:tcMar>
              <w:top w:w="75" w:type="dxa"/>
              <w:left w:w="150" w:type="dxa"/>
              <w:bottom w:w="75" w:type="dxa"/>
              <w:right w:w="150" w:type="dxa"/>
            </w:tcMar>
            <w:vAlign w:val="center"/>
          </w:tcPr>
          <w:p w14:paraId="0C497D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Style w:val="11"/>
                <w:rFonts w:hint="eastAsia" w:asciiTheme="minorEastAsia" w:hAnsiTheme="minorEastAsia" w:eastAsiaTheme="minorEastAsia" w:cstheme="minorEastAsia"/>
                <w:b/>
                <w:sz w:val="21"/>
                <w:szCs w:val="21"/>
              </w:rPr>
              <w:t>序号</w:t>
            </w:r>
          </w:p>
        </w:tc>
        <w:tc>
          <w:tcPr>
            <w:tcW w:w="950" w:type="dxa"/>
            <w:vMerge w:val="restart"/>
            <w:tcBorders>
              <w:tl2br w:val="nil"/>
              <w:tr2bl w:val="nil"/>
            </w:tcBorders>
            <w:shd w:val="clear" w:color="auto" w:fill="D9D9D9"/>
            <w:noWrap w:val="0"/>
            <w:tcMar>
              <w:top w:w="75" w:type="dxa"/>
              <w:left w:w="150" w:type="dxa"/>
              <w:bottom w:w="75" w:type="dxa"/>
              <w:right w:w="150" w:type="dxa"/>
            </w:tcMar>
            <w:vAlign w:val="center"/>
          </w:tcPr>
          <w:p w14:paraId="2E05FA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Style w:val="11"/>
                <w:rFonts w:hint="eastAsia" w:asciiTheme="minorEastAsia" w:hAnsiTheme="minorEastAsia" w:eastAsiaTheme="minorEastAsia" w:cstheme="minorEastAsia"/>
                <w:b/>
                <w:sz w:val="21"/>
                <w:szCs w:val="21"/>
              </w:rPr>
              <w:t>评审项目</w:t>
            </w:r>
          </w:p>
        </w:tc>
        <w:tc>
          <w:tcPr>
            <w:tcW w:w="6483" w:type="dxa"/>
            <w:vMerge w:val="restart"/>
            <w:tcBorders>
              <w:tl2br w:val="nil"/>
              <w:tr2bl w:val="nil"/>
            </w:tcBorders>
            <w:shd w:val="clear" w:color="auto" w:fill="D9D9D9"/>
            <w:noWrap w:val="0"/>
            <w:tcMar>
              <w:top w:w="75" w:type="dxa"/>
              <w:left w:w="150" w:type="dxa"/>
              <w:bottom w:w="75" w:type="dxa"/>
              <w:right w:w="150" w:type="dxa"/>
            </w:tcMar>
            <w:vAlign w:val="center"/>
          </w:tcPr>
          <w:p w14:paraId="599EC9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kern w:val="0"/>
                <w:sz w:val="21"/>
                <w:szCs w:val="21"/>
                <w:lang w:val="en-US" w:eastAsia="zh-CN" w:bidi="ar"/>
              </w:rPr>
            </w:pPr>
            <w:r>
              <w:rPr>
                <w:rStyle w:val="11"/>
                <w:rFonts w:hint="eastAsia" w:asciiTheme="minorEastAsia" w:hAnsiTheme="minorEastAsia" w:eastAsiaTheme="minorEastAsia" w:cstheme="minorEastAsia"/>
                <w:b/>
                <w:sz w:val="21"/>
                <w:szCs w:val="21"/>
              </w:rPr>
              <w:t>评议内容</w:t>
            </w:r>
          </w:p>
        </w:tc>
        <w:tc>
          <w:tcPr>
            <w:tcW w:w="676" w:type="dxa"/>
            <w:vMerge w:val="restart"/>
            <w:tcBorders>
              <w:tl2br w:val="nil"/>
              <w:tr2bl w:val="nil"/>
            </w:tcBorders>
            <w:shd w:val="clear" w:color="auto" w:fill="D9D9D9"/>
            <w:noWrap w:val="0"/>
            <w:tcMar>
              <w:top w:w="75" w:type="dxa"/>
              <w:left w:w="150" w:type="dxa"/>
              <w:bottom w:w="75" w:type="dxa"/>
              <w:right w:w="150" w:type="dxa"/>
            </w:tcMar>
            <w:vAlign w:val="center"/>
          </w:tcPr>
          <w:p w14:paraId="5064C6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Style w:val="11"/>
                <w:rFonts w:hint="eastAsia" w:asciiTheme="minorEastAsia" w:hAnsiTheme="minorEastAsia" w:eastAsiaTheme="minorEastAsia" w:cstheme="minorEastAsia"/>
                <w:b/>
                <w:sz w:val="21"/>
                <w:szCs w:val="21"/>
              </w:rPr>
              <w:t>分数</w:t>
            </w:r>
          </w:p>
        </w:tc>
        <w:tc>
          <w:tcPr>
            <w:tcW w:w="2081" w:type="dxa"/>
            <w:gridSpan w:val="2"/>
            <w:tcBorders>
              <w:tl2br w:val="nil"/>
              <w:tr2bl w:val="nil"/>
            </w:tcBorders>
            <w:shd w:val="clear" w:color="auto" w:fill="D9D9D9"/>
            <w:noWrap w:val="0"/>
            <w:tcMar>
              <w:top w:w="75" w:type="dxa"/>
              <w:left w:w="150" w:type="dxa"/>
              <w:bottom w:w="75" w:type="dxa"/>
              <w:right w:w="150" w:type="dxa"/>
            </w:tcMar>
            <w:vAlign w:val="center"/>
          </w:tcPr>
          <w:p w14:paraId="396A07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Style w:val="11"/>
                <w:rFonts w:hint="default" w:asciiTheme="minorEastAsia" w:hAnsiTheme="minorEastAsia" w:eastAsiaTheme="minorEastAsia" w:cstheme="minorEastAsia"/>
                <w:b/>
                <w:sz w:val="21"/>
                <w:szCs w:val="21"/>
                <w:lang w:val="en-US" w:eastAsia="zh-CN"/>
              </w:rPr>
            </w:pPr>
            <w:r>
              <w:rPr>
                <w:rStyle w:val="11"/>
                <w:rFonts w:hint="eastAsia" w:asciiTheme="minorEastAsia" w:hAnsiTheme="minorEastAsia" w:eastAsiaTheme="minorEastAsia" w:cstheme="minorEastAsia"/>
                <w:b/>
                <w:sz w:val="21"/>
                <w:szCs w:val="21"/>
                <w:lang w:val="en-US" w:eastAsia="zh-CN"/>
              </w:rPr>
              <w:t>自评情况</w:t>
            </w:r>
          </w:p>
        </w:tc>
      </w:tr>
      <w:tr w14:paraId="5F0C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blHeader/>
          <w:jc w:val="center"/>
        </w:trPr>
        <w:tc>
          <w:tcPr>
            <w:tcW w:w="541" w:type="dxa"/>
            <w:vMerge w:val="continue"/>
            <w:tcBorders>
              <w:tl2br w:val="nil"/>
              <w:tr2bl w:val="nil"/>
            </w:tcBorders>
            <w:shd w:val="clear" w:color="auto" w:fill="D9D9D9"/>
            <w:noWrap w:val="0"/>
            <w:tcMar>
              <w:top w:w="75" w:type="dxa"/>
              <w:left w:w="150" w:type="dxa"/>
              <w:bottom w:w="75" w:type="dxa"/>
              <w:right w:w="150" w:type="dxa"/>
            </w:tcMar>
            <w:vAlign w:val="center"/>
          </w:tcPr>
          <w:p w14:paraId="064CCF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pPr>
          </w:p>
        </w:tc>
        <w:tc>
          <w:tcPr>
            <w:tcW w:w="950" w:type="dxa"/>
            <w:vMerge w:val="continue"/>
            <w:tcBorders>
              <w:tl2br w:val="nil"/>
              <w:tr2bl w:val="nil"/>
            </w:tcBorders>
            <w:shd w:val="clear" w:color="auto" w:fill="D9D9D9"/>
            <w:noWrap w:val="0"/>
            <w:tcMar>
              <w:top w:w="75" w:type="dxa"/>
              <w:left w:w="150" w:type="dxa"/>
              <w:bottom w:w="75" w:type="dxa"/>
              <w:right w:w="150" w:type="dxa"/>
            </w:tcMar>
            <w:vAlign w:val="center"/>
          </w:tcPr>
          <w:p w14:paraId="52EEAD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pPr>
          </w:p>
        </w:tc>
        <w:tc>
          <w:tcPr>
            <w:tcW w:w="6483" w:type="dxa"/>
            <w:vMerge w:val="continue"/>
            <w:tcBorders>
              <w:tl2br w:val="nil"/>
              <w:tr2bl w:val="nil"/>
            </w:tcBorders>
            <w:shd w:val="clear" w:color="auto" w:fill="D9D9D9"/>
            <w:noWrap w:val="0"/>
            <w:tcMar>
              <w:top w:w="75" w:type="dxa"/>
              <w:left w:w="150" w:type="dxa"/>
              <w:bottom w:w="75" w:type="dxa"/>
              <w:right w:w="150" w:type="dxa"/>
            </w:tcMar>
            <w:vAlign w:val="center"/>
          </w:tcPr>
          <w:p w14:paraId="689493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pPr>
          </w:p>
        </w:tc>
        <w:tc>
          <w:tcPr>
            <w:tcW w:w="676" w:type="dxa"/>
            <w:vMerge w:val="continue"/>
            <w:tcBorders>
              <w:tl2br w:val="nil"/>
              <w:tr2bl w:val="nil"/>
            </w:tcBorders>
            <w:shd w:val="clear" w:color="auto" w:fill="D9D9D9"/>
            <w:noWrap w:val="0"/>
            <w:tcMar>
              <w:top w:w="75" w:type="dxa"/>
              <w:left w:w="150" w:type="dxa"/>
              <w:bottom w:w="75" w:type="dxa"/>
              <w:right w:w="150" w:type="dxa"/>
            </w:tcMar>
            <w:vAlign w:val="center"/>
          </w:tcPr>
          <w:p w14:paraId="05E14E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pPr>
          </w:p>
        </w:tc>
        <w:tc>
          <w:tcPr>
            <w:tcW w:w="1040" w:type="dxa"/>
            <w:tcBorders>
              <w:tl2br w:val="nil"/>
              <w:tr2bl w:val="nil"/>
            </w:tcBorders>
            <w:shd w:val="clear" w:color="auto" w:fill="D9D9D9"/>
            <w:noWrap w:val="0"/>
            <w:tcMar>
              <w:top w:w="75" w:type="dxa"/>
              <w:left w:w="150" w:type="dxa"/>
              <w:bottom w:w="75" w:type="dxa"/>
              <w:right w:w="150" w:type="dxa"/>
            </w:tcMar>
            <w:vAlign w:val="center"/>
          </w:tcPr>
          <w:p w14:paraId="7EFF4C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Style w:val="11"/>
                <w:rFonts w:hint="eastAsia" w:asciiTheme="minorEastAsia" w:hAnsiTheme="minorEastAsia" w:eastAsiaTheme="minorEastAsia" w:cstheme="minorEastAsia"/>
                <w:b/>
                <w:sz w:val="21"/>
                <w:szCs w:val="21"/>
                <w:lang w:val="en-US" w:eastAsia="zh-CN"/>
              </w:rPr>
            </w:pPr>
            <w:r>
              <w:rPr>
                <w:rStyle w:val="11"/>
                <w:rFonts w:hint="eastAsia" w:asciiTheme="minorEastAsia" w:hAnsiTheme="minorEastAsia" w:eastAsiaTheme="minorEastAsia" w:cstheme="minorEastAsia"/>
                <w:b/>
                <w:sz w:val="21"/>
                <w:szCs w:val="21"/>
                <w:lang w:val="en-US" w:eastAsia="zh-CN"/>
              </w:rPr>
              <w:t>分数</w:t>
            </w:r>
          </w:p>
        </w:tc>
        <w:tc>
          <w:tcPr>
            <w:tcW w:w="1041" w:type="dxa"/>
            <w:tcBorders>
              <w:tl2br w:val="nil"/>
              <w:tr2bl w:val="nil"/>
            </w:tcBorders>
            <w:shd w:val="clear" w:color="auto" w:fill="D9D9D9"/>
            <w:noWrap w:val="0"/>
            <w:tcMar>
              <w:top w:w="75" w:type="dxa"/>
              <w:left w:w="150" w:type="dxa"/>
              <w:bottom w:w="75" w:type="dxa"/>
              <w:right w:w="150" w:type="dxa"/>
            </w:tcMar>
            <w:vAlign w:val="center"/>
          </w:tcPr>
          <w:p w14:paraId="584D76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Style w:val="11"/>
                <w:rFonts w:hint="default" w:asciiTheme="minorEastAsia" w:hAnsiTheme="minorEastAsia" w:eastAsiaTheme="minorEastAsia" w:cstheme="minorEastAsia"/>
                <w:b/>
                <w:sz w:val="21"/>
                <w:szCs w:val="21"/>
                <w:lang w:val="en-US" w:eastAsia="zh-CN"/>
              </w:rPr>
            </w:pPr>
            <w:r>
              <w:rPr>
                <w:rStyle w:val="11"/>
                <w:rFonts w:hint="eastAsia" w:asciiTheme="minorEastAsia" w:hAnsiTheme="minorEastAsia" w:eastAsiaTheme="minorEastAsia" w:cstheme="minorEastAsia"/>
                <w:b/>
                <w:sz w:val="21"/>
                <w:szCs w:val="21"/>
                <w:lang w:val="en-US" w:eastAsia="zh-CN"/>
              </w:rPr>
              <w:t>佐证材料页码</w:t>
            </w:r>
          </w:p>
        </w:tc>
      </w:tr>
      <w:tr w14:paraId="3361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vMerge w:val="restart"/>
            <w:tcBorders>
              <w:tl2br w:val="nil"/>
              <w:tr2bl w:val="nil"/>
            </w:tcBorders>
            <w:noWrap w:val="0"/>
            <w:tcMar>
              <w:top w:w="75" w:type="dxa"/>
              <w:left w:w="150" w:type="dxa"/>
              <w:bottom w:w="75" w:type="dxa"/>
              <w:right w:w="150" w:type="dxa"/>
            </w:tcMar>
            <w:vAlign w:val="center"/>
          </w:tcPr>
          <w:p w14:paraId="2DF745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950" w:type="dxa"/>
            <w:vMerge w:val="restart"/>
            <w:tcBorders>
              <w:tl2br w:val="nil"/>
              <w:tr2bl w:val="nil"/>
            </w:tcBorders>
            <w:noWrap w:val="0"/>
            <w:tcMar>
              <w:top w:w="75" w:type="dxa"/>
              <w:left w:w="150" w:type="dxa"/>
              <w:bottom w:w="75" w:type="dxa"/>
              <w:right w:w="150" w:type="dxa"/>
            </w:tcMar>
            <w:vAlign w:val="center"/>
          </w:tcPr>
          <w:p w14:paraId="4EF881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资质及设备</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7551FE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检测数目：投标人通过计量认证的环境类检测项目数≥</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00项得10分，</w:t>
            </w:r>
            <w:r>
              <w:rPr>
                <w:rFonts w:hint="eastAsia" w:asciiTheme="minorEastAsia" w:hAnsiTheme="minorEastAsia" w:eastAsiaTheme="minorEastAsia" w:cstheme="minorEastAsia"/>
                <w:sz w:val="21"/>
                <w:szCs w:val="21"/>
                <w:lang w:val="en-US" w:eastAsia="zh-CN"/>
              </w:rPr>
              <w:t>900</w:t>
            </w:r>
            <w:r>
              <w:rPr>
                <w:rFonts w:hint="eastAsia" w:asciiTheme="minorEastAsia" w:hAnsiTheme="minorEastAsia" w:eastAsiaTheme="minorEastAsia" w:cstheme="minorEastAsia"/>
                <w:sz w:val="21"/>
                <w:szCs w:val="21"/>
              </w:rPr>
              <w:t>项≤检测项目数＜</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00项得8分，</w:t>
            </w:r>
            <w:r>
              <w:rPr>
                <w:rFonts w:hint="eastAsia" w:asciiTheme="minorEastAsia" w:hAnsiTheme="minorEastAsia" w:eastAsiaTheme="minorEastAsia" w:cstheme="minorEastAsia"/>
                <w:sz w:val="21"/>
                <w:szCs w:val="21"/>
                <w:lang w:val="en-US" w:eastAsia="zh-CN"/>
              </w:rPr>
              <w:t>600</w:t>
            </w:r>
            <w:r>
              <w:rPr>
                <w:rFonts w:hint="eastAsia" w:asciiTheme="minorEastAsia" w:hAnsiTheme="minorEastAsia" w:eastAsiaTheme="minorEastAsia" w:cstheme="minorEastAsia"/>
                <w:sz w:val="21"/>
                <w:szCs w:val="21"/>
              </w:rPr>
              <w:t>项≤检测项目数＜</w:t>
            </w:r>
            <w:r>
              <w:rPr>
                <w:rFonts w:hint="eastAsia" w:asciiTheme="minorEastAsia" w:hAnsiTheme="minorEastAsia" w:eastAsiaTheme="minorEastAsia" w:cstheme="minorEastAsia"/>
                <w:sz w:val="21"/>
                <w:szCs w:val="21"/>
                <w:lang w:val="en-US" w:eastAsia="zh-CN"/>
              </w:rPr>
              <w:t>900</w:t>
            </w:r>
            <w:r>
              <w:rPr>
                <w:rFonts w:hint="eastAsia" w:asciiTheme="minorEastAsia" w:hAnsiTheme="minorEastAsia" w:eastAsiaTheme="minorEastAsia" w:cstheme="minorEastAsia"/>
                <w:sz w:val="21"/>
                <w:szCs w:val="21"/>
              </w:rPr>
              <w:t>项的得5分，检测项目数＜</w:t>
            </w:r>
            <w:r>
              <w:rPr>
                <w:rFonts w:hint="eastAsia" w:asciiTheme="minorEastAsia" w:hAnsiTheme="minorEastAsia" w:eastAsiaTheme="minorEastAsia" w:cstheme="minorEastAsia"/>
                <w:sz w:val="21"/>
                <w:szCs w:val="21"/>
                <w:lang w:val="en-US" w:eastAsia="zh-CN"/>
              </w:rPr>
              <w:t>600</w:t>
            </w:r>
            <w:r>
              <w:rPr>
                <w:rFonts w:hint="eastAsia" w:asciiTheme="minorEastAsia" w:hAnsiTheme="minorEastAsia" w:eastAsiaTheme="minorEastAsia" w:cstheme="minorEastAsia"/>
                <w:sz w:val="21"/>
                <w:szCs w:val="21"/>
              </w:rPr>
              <w:t>项不得分（投标文件中须附计量认证证书及附</w:t>
            </w: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rPr>
              <w:t>复印件，含检测内容部分，并将证书检测内容中与本次招标检测内容相同的部分作出明显标记以方便评审。）</w:t>
            </w:r>
          </w:p>
        </w:tc>
        <w:tc>
          <w:tcPr>
            <w:tcW w:w="676" w:type="dxa"/>
            <w:tcBorders>
              <w:tl2br w:val="nil"/>
              <w:tr2bl w:val="nil"/>
            </w:tcBorders>
            <w:noWrap w:val="0"/>
            <w:tcMar>
              <w:top w:w="75" w:type="dxa"/>
              <w:left w:w="150" w:type="dxa"/>
              <w:bottom w:w="75" w:type="dxa"/>
              <w:right w:w="150" w:type="dxa"/>
            </w:tcMar>
            <w:vAlign w:val="center"/>
          </w:tcPr>
          <w:p w14:paraId="3AB149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040" w:type="dxa"/>
            <w:tcBorders>
              <w:tl2br w:val="nil"/>
              <w:tr2bl w:val="nil"/>
            </w:tcBorders>
            <w:noWrap w:val="0"/>
            <w:tcMar>
              <w:top w:w="75" w:type="dxa"/>
              <w:left w:w="150" w:type="dxa"/>
              <w:bottom w:w="75" w:type="dxa"/>
              <w:right w:w="150" w:type="dxa"/>
            </w:tcMar>
            <w:vAlign w:val="center"/>
          </w:tcPr>
          <w:p w14:paraId="4020DF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1041" w:type="dxa"/>
            <w:tcBorders>
              <w:tl2br w:val="nil"/>
              <w:tr2bl w:val="nil"/>
            </w:tcBorders>
            <w:noWrap w:val="0"/>
            <w:tcMar>
              <w:top w:w="75" w:type="dxa"/>
              <w:left w:w="150" w:type="dxa"/>
              <w:bottom w:w="75" w:type="dxa"/>
              <w:right w:w="150" w:type="dxa"/>
            </w:tcMar>
            <w:vAlign w:val="center"/>
          </w:tcPr>
          <w:p w14:paraId="4AB5AD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r>
      <w:tr w14:paraId="3C74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vMerge w:val="continue"/>
            <w:tcBorders>
              <w:tl2br w:val="nil"/>
              <w:tr2bl w:val="nil"/>
            </w:tcBorders>
            <w:noWrap w:val="0"/>
            <w:tcMar>
              <w:top w:w="75" w:type="dxa"/>
              <w:left w:w="150" w:type="dxa"/>
              <w:bottom w:w="75" w:type="dxa"/>
              <w:right w:w="150" w:type="dxa"/>
            </w:tcMar>
            <w:vAlign w:val="center"/>
          </w:tcPr>
          <w:p w14:paraId="6C4B98BF">
            <w:pPr>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950" w:type="dxa"/>
            <w:vMerge w:val="continue"/>
            <w:tcBorders>
              <w:tl2br w:val="nil"/>
              <w:tr2bl w:val="nil"/>
            </w:tcBorders>
            <w:noWrap w:val="0"/>
            <w:tcMar>
              <w:top w:w="75" w:type="dxa"/>
              <w:left w:w="150" w:type="dxa"/>
              <w:bottom w:w="75" w:type="dxa"/>
              <w:right w:w="150" w:type="dxa"/>
            </w:tcMar>
            <w:vAlign w:val="center"/>
          </w:tcPr>
          <w:p w14:paraId="519893DF">
            <w:pPr>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rPr>
            </w:pPr>
          </w:p>
        </w:tc>
        <w:tc>
          <w:tcPr>
            <w:tcW w:w="6483" w:type="dxa"/>
            <w:tcBorders>
              <w:tl2br w:val="nil"/>
              <w:tr2bl w:val="nil"/>
            </w:tcBorders>
            <w:shd w:val="clear" w:color="auto" w:fill="auto"/>
            <w:noWrap w:val="0"/>
            <w:tcMar>
              <w:top w:w="75" w:type="dxa"/>
              <w:left w:w="150" w:type="dxa"/>
              <w:bottom w:w="75" w:type="dxa"/>
              <w:right w:w="150" w:type="dxa"/>
            </w:tcMar>
            <w:vAlign w:val="center"/>
          </w:tcPr>
          <w:p w14:paraId="3DCFC0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分析设备：1）气相色谱仪、2）原子吸收分光光度计、3）原子荧光分光光度计、4）</w:t>
            </w:r>
            <w:r>
              <w:rPr>
                <w:rFonts w:hint="eastAsia" w:asciiTheme="minorEastAsia" w:hAnsiTheme="minorEastAsia" w:eastAsiaTheme="minorEastAsia" w:cstheme="minorEastAsia"/>
                <w:sz w:val="21"/>
                <w:szCs w:val="21"/>
                <w:lang w:eastAsia="zh-CN"/>
              </w:rPr>
              <w:t>红外测油仪</w:t>
            </w:r>
            <w:r>
              <w:rPr>
                <w:rFonts w:hint="eastAsia" w:asciiTheme="minorEastAsia" w:hAnsiTheme="minorEastAsia" w:eastAsiaTheme="minorEastAsia" w:cstheme="minorEastAsia"/>
                <w:sz w:val="21"/>
                <w:szCs w:val="21"/>
              </w:rPr>
              <w:t>、5）气相色谱-质谱仪、6）</w:t>
            </w:r>
            <w:r>
              <w:rPr>
                <w:rFonts w:hint="eastAsia" w:asciiTheme="minorEastAsia" w:hAnsiTheme="minorEastAsia" w:eastAsiaTheme="minorEastAsia" w:cstheme="minorEastAsia"/>
                <w:sz w:val="21"/>
                <w:szCs w:val="21"/>
                <w:lang w:eastAsia="zh-CN"/>
              </w:rPr>
              <w:t>总有机碳分析仪</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）电感耦合等离子体发射光谱仪、</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）离子色谱仪、</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）紫外-可见分光光度计，</w:t>
            </w:r>
            <w:r>
              <w:rPr>
                <w:rFonts w:hint="eastAsia" w:asciiTheme="minorEastAsia" w:hAnsiTheme="minorEastAsia" w:eastAsiaTheme="minorEastAsia" w:cstheme="minorEastAsia"/>
                <w:sz w:val="21"/>
                <w:szCs w:val="21"/>
                <w:lang w:val="en-US" w:eastAsia="zh-CN"/>
              </w:rPr>
              <w:t>10）急性毒性分析仪，</w:t>
            </w:r>
            <w:r>
              <w:rPr>
                <w:rFonts w:hint="eastAsia" w:asciiTheme="minorEastAsia" w:hAnsiTheme="minorEastAsia" w:eastAsiaTheme="minorEastAsia" w:cstheme="minorEastAsia"/>
                <w:sz w:val="21"/>
                <w:szCs w:val="21"/>
              </w:rPr>
              <w:t>以上每提供一类设备得1分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（投标文件中须附仪器设备一览表，并以仪器设备购买发票复印件</w:t>
            </w:r>
            <w:r>
              <w:rPr>
                <w:rFonts w:hint="eastAsia" w:asciiTheme="minorEastAsia" w:hAnsiTheme="minorEastAsia" w:eastAsiaTheme="minorEastAsia" w:cstheme="minorEastAsia"/>
                <w:sz w:val="21"/>
                <w:szCs w:val="21"/>
                <w:lang w:eastAsia="zh-CN"/>
              </w:rPr>
              <w:t>、设备检定</w:t>
            </w:r>
            <w:r>
              <w:rPr>
                <w:rFonts w:hint="eastAsia" w:asciiTheme="minorEastAsia" w:hAnsiTheme="minorEastAsia" w:eastAsiaTheme="minorEastAsia" w:cstheme="minorEastAsia"/>
                <w:sz w:val="21"/>
                <w:szCs w:val="21"/>
                <w:lang w:val="en-US" w:eastAsia="zh-CN"/>
              </w:rPr>
              <w:t>/校准</w:t>
            </w:r>
            <w:r>
              <w:rPr>
                <w:rFonts w:hint="eastAsia" w:asciiTheme="minorEastAsia" w:hAnsiTheme="minorEastAsia" w:eastAsiaTheme="minorEastAsia" w:cstheme="minorEastAsia"/>
                <w:sz w:val="21"/>
                <w:szCs w:val="21"/>
                <w:lang w:eastAsia="zh-CN"/>
              </w:rPr>
              <w:t>证书复印件</w:t>
            </w:r>
            <w:r>
              <w:rPr>
                <w:rFonts w:hint="eastAsia" w:asciiTheme="minorEastAsia" w:hAnsiTheme="minorEastAsia" w:eastAsiaTheme="minorEastAsia" w:cstheme="minorEastAsia"/>
                <w:sz w:val="21"/>
                <w:szCs w:val="21"/>
              </w:rPr>
              <w:t>为证明。）</w:t>
            </w:r>
          </w:p>
        </w:tc>
        <w:tc>
          <w:tcPr>
            <w:tcW w:w="676" w:type="dxa"/>
            <w:tcBorders>
              <w:tl2br w:val="nil"/>
              <w:tr2bl w:val="nil"/>
            </w:tcBorders>
            <w:noWrap w:val="0"/>
            <w:tcMar>
              <w:top w:w="75" w:type="dxa"/>
              <w:left w:w="150" w:type="dxa"/>
              <w:bottom w:w="75" w:type="dxa"/>
              <w:right w:w="150" w:type="dxa"/>
            </w:tcMar>
            <w:vAlign w:val="center"/>
          </w:tcPr>
          <w:p w14:paraId="19F826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1040" w:type="dxa"/>
            <w:tcBorders>
              <w:tl2br w:val="nil"/>
              <w:tr2bl w:val="nil"/>
            </w:tcBorders>
            <w:noWrap w:val="0"/>
            <w:tcMar>
              <w:top w:w="75" w:type="dxa"/>
              <w:left w:w="150" w:type="dxa"/>
              <w:bottom w:w="75" w:type="dxa"/>
              <w:right w:w="150" w:type="dxa"/>
            </w:tcMar>
            <w:vAlign w:val="center"/>
          </w:tcPr>
          <w:p w14:paraId="3A1D2D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1041" w:type="dxa"/>
            <w:tcBorders>
              <w:tl2br w:val="nil"/>
              <w:tr2bl w:val="nil"/>
            </w:tcBorders>
            <w:noWrap w:val="0"/>
            <w:tcMar>
              <w:top w:w="75" w:type="dxa"/>
              <w:left w:w="150" w:type="dxa"/>
              <w:bottom w:w="75" w:type="dxa"/>
              <w:right w:w="150" w:type="dxa"/>
            </w:tcMar>
            <w:vAlign w:val="center"/>
          </w:tcPr>
          <w:p w14:paraId="4F2AA7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r>
      <w:tr w14:paraId="2920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tcBorders>
              <w:tl2br w:val="nil"/>
              <w:tr2bl w:val="nil"/>
            </w:tcBorders>
            <w:noWrap w:val="0"/>
            <w:tcMar>
              <w:top w:w="75" w:type="dxa"/>
              <w:left w:w="150" w:type="dxa"/>
              <w:bottom w:w="75" w:type="dxa"/>
              <w:right w:w="150" w:type="dxa"/>
            </w:tcMar>
            <w:vAlign w:val="center"/>
          </w:tcPr>
          <w:p w14:paraId="21C72B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950" w:type="dxa"/>
            <w:tcBorders>
              <w:tl2br w:val="nil"/>
              <w:tr2bl w:val="nil"/>
            </w:tcBorders>
            <w:noWrap w:val="0"/>
            <w:tcMar>
              <w:top w:w="75" w:type="dxa"/>
              <w:left w:w="150" w:type="dxa"/>
              <w:bottom w:w="75" w:type="dxa"/>
              <w:right w:w="150" w:type="dxa"/>
            </w:tcMar>
            <w:vAlign w:val="center"/>
          </w:tcPr>
          <w:p w14:paraId="4FC393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服务实施方案及质控措施</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33619644">
            <w:pPr>
              <w:pStyle w:val="18"/>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服务方案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根据响应供应商对本项目实施方案的完整性、可行性和详细程度、整体安排及保证措施的合理性进行评分。</w:t>
            </w:r>
          </w:p>
          <w:p w14:paraId="2C443A8E">
            <w:pPr>
              <w:pStyle w:val="18"/>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1、方案很完善、详细有效。对本项目实施的范围明确、内容清楚；技术思路和方法清晰、合理、可行；项目组织严密，管理有效；服务保障可靠及人员车辆调配完全满足方案实施要求的，得</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lang w:eastAsia="zh-CN"/>
              </w:rPr>
              <w:t>分；</w:t>
            </w:r>
          </w:p>
          <w:p w14:paraId="1340AB09">
            <w:pPr>
              <w:pStyle w:val="18"/>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2、方案基本完善。对本项目实施的范围较明确、内容清楚；技术思路和方法较清晰、合理、可行；项目组织较具体，管理有效；服务有保障及人员车辆调配能满足方案实施要求的，得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分；</w:t>
            </w:r>
          </w:p>
          <w:p w14:paraId="39814E10">
            <w:pPr>
              <w:pStyle w:val="18"/>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3、提出了基本的工作方案，技术思路及技术方法论述一般，较清晰、合理、可行；服务保障一般及人员车辆调配基本满足方案实施要求的，得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分；</w:t>
            </w:r>
          </w:p>
          <w:p w14:paraId="62538F40">
            <w:pPr>
              <w:pStyle w:val="18"/>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4、提出了简单的工作方案，技术思路及技术方法论述较差；服务保障差及人员车辆调配不能满足方案实施要求的，得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分；</w:t>
            </w:r>
          </w:p>
          <w:p w14:paraId="2E4252FE">
            <w:pPr>
              <w:pStyle w:val="18"/>
              <w:keepNext w:val="0"/>
              <w:keepLines w:val="0"/>
              <w:pageBreakBefore w:val="0"/>
              <w:kinsoku/>
              <w:overflowPunct/>
              <w:topLinePunct w:val="0"/>
              <w:autoSpaceDE/>
              <w:autoSpaceDN/>
              <w:bidi w:val="0"/>
              <w:adjustRightInd w:val="0"/>
              <w:snapToGrid w:val="0"/>
              <w:spacing w:line="240" w:lineRule="exact"/>
              <w:ind w:left="0" w:leftChars="0" w:right="0" w:rightChars="0" w:firstLine="0" w:firstLine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5、不提供不得分。</w:t>
            </w:r>
          </w:p>
        </w:tc>
        <w:tc>
          <w:tcPr>
            <w:tcW w:w="676" w:type="dxa"/>
            <w:tcBorders>
              <w:tl2br w:val="nil"/>
              <w:tr2bl w:val="nil"/>
            </w:tcBorders>
            <w:noWrap w:val="0"/>
            <w:tcMar>
              <w:top w:w="75" w:type="dxa"/>
              <w:left w:w="150" w:type="dxa"/>
              <w:bottom w:w="75" w:type="dxa"/>
              <w:right w:w="150" w:type="dxa"/>
            </w:tcMar>
            <w:vAlign w:val="center"/>
          </w:tcPr>
          <w:p w14:paraId="189373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5</w:t>
            </w:r>
          </w:p>
        </w:tc>
        <w:tc>
          <w:tcPr>
            <w:tcW w:w="1040" w:type="dxa"/>
            <w:tcBorders>
              <w:tl2br w:val="nil"/>
              <w:tr2bl w:val="nil"/>
            </w:tcBorders>
            <w:noWrap w:val="0"/>
            <w:tcMar>
              <w:top w:w="75" w:type="dxa"/>
              <w:left w:w="150" w:type="dxa"/>
              <w:bottom w:w="75" w:type="dxa"/>
              <w:right w:w="150" w:type="dxa"/>
            </w:tcMar>
            <w:vAlign w:val="center"/>
          </w:tcPr>
          <w:p w14:paraId="704A0E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1041" w:type="dxa"/>
            <w:tcBorders>
              <w:tl2br w:val="nil"/>
              <w:tr2bl w:val="nil"/>
            </w:tcBorders>
            <w:noWrap w:val="0"/>
            <w:tcMar>
              <w:top w:w="75" w:type="dxa"/>
              <w:left w:w="150" w:type="dxa"/>
              <w:bottom w:w="75" w:type="dxa"/>
              <w:right w:w="150" w:type="dxa"/>
            </w:tcMar>
            <w:vAlign w:val="center"/>
          </w:tcPr>
          <w:p w14:paraId="3D40D7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r>
      <w:tr w14:paraId="1FAF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vMerge w:val="restart"/>
            <w:tcBorders>
              <w:tl2br w:val="nil"/>
              <w:tr2bl w:val="nil"/>
            </w:tcBorders>
            <w:noWrap w:val="0"/>
            <w:tcMar>
              <w:top w:w="75" w:type="dxa"/>
              <w:left w:w="150" w:type="dxa"/>
              <w:bottom w:w="75" w:type="dxa"/>
              <w:right w:w="150" w:type="dxa"/>
            </w:tcMar>
            <w:vAlign w:val="center"/>
          </w:tcPr>
          <w:p w14:paraId="7B50AB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950" w:type="dxa"/>
            <w:vMerge w:val="restart"/>
            <w:tcBorders>
              <w:tl2br w:val="nil"/>
              <w:tr2bl w:val="nil"/>
            </w:tcBorders>
            <w:noWrap w:val="0"/>
            <w:tcMar>
              <w:top w:w="75" w:type="dxa"/>
              <w:left w:w="150" w:type="dxa"/>
              <w:bottom w:w="75" w:type="dxa"/>
              <w:right w:w="150" w:type="dxa"/>
            </w:tcMar>
            <w:vAlign w:val="center"/>
          </w:tcPr>
          <w:p w14:paraId="38D962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服务团队</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441E09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项目负责人为环境</w:t>
            </w:r>
            <w:r>
              <w:rPr>
                <w:rFonts w:hint="eastAsia" w:asciiTheme="minorEastAsia" w:hAnsiTheme="minorEastAsia" w:eastAsiaTheme="minorEastAsia" w:cstheme="minorEastAsia"/>
                <w:sz w:val="21"/>
                <w:szCs w:val="21"/>
                <w:lang w:eastAsia="zh-CN"/>
              </w:rPr>
              <w:t>类</w:t>
            </w:r>
            <w:r>
              <w:rPr>
                <w:rFonts w:hint="eastAsia" w:asciiTheme="minorEastAsia" w:hAnsiTheme="minorEastAsia" w:eastAsiaTheme="minorEastAsia" w:cstheme="minorEastAsia"/>
                <w:sz w:val="21"/>
                <w:szCs w:val="21"/>
              </w:rPr>
              <w:t>高级工程师职称得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分；项目负责人为环境类中级职称得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分。（投标文件中须附项目负责人的职称或资格证书复印件及20</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年4月以来连续3个月由投标人为其购买的社保证明复印件</w:t>
            </w:r>
            <w:r>
              <w:rPr>
                <w:rFonts w:hint="eastAsia" w:asciiTheme="minorEastAsia" w:hAnsiTheme="minorEastAsia" w:eastAsiaTheme="minorEastAsia" w:cstheme="minorEastAsia"/>
                <w:sz w:val="21"/>
                <w:szCs w:val="21"/>
                <w:lang w:eastAsia="zh-CN"/>
              </w:rPr>
              <w:t>为证明文件。</w:t>
            </w:r>
            <w:r>
              <w:rPr>
                <w:rFonts w:hint="eastAsia" w:asciiTheme="minorEastAsia" w:hAnsiTheme="minorEastAsia" w:eastAsiaTheme="minorEastAsia" w:cstheme="minorEastAsia"/>
                <w:sz w:val="21"/>
                <w:szCs w:val="21"/>
              </w:rPr>
              <w:t>）</w:t>
            </w:r>
          </w:p>
        </w:tc>
        <w:tc>
          <w:tcPr>
            <w:tcW w:w="676" w:type="dxa"/>
            <w:tcBorders>
              <w:tl2br w:val="nil"/>
              <w:tr2bl w:val="nil"/>
            </w:tcBorders>
            <w:noWrap w:val="0"/>
            <w:tcMar>
              <w:top w:w="75" w:type="dxa"/>
              <w:left w:w="150" w:type="dxa"/>
              <w:bottom w:w="75" w:type="dxa"/>
              <w:right w:w="150" w:type="dxa"/>
            </w:tcMar>
            <w:vAlign w:val="center"/>
          </w:tcPr>
          <w:p w14:paraId="245905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040" w:type="dxa"/>
            <w:tcBorders>
              <w:tl2br w:val="nil"/>
              <w:tr2bl w:val="nil"/>
            </w:tcBorders>
            <w:noWrap w:val="0"/>
            <w:tcMar>
              <w:top w:w="75" w:type="dxa"/>
              <w:left w:w="150" w:type="dxa"/>
              <w:bottom w:w="75" w:type="dxa"/>
              <w:right w:w="150" w:type="dxa"/>
            </w:tcMar>
            <w:vAlign w:val="center"/>
          </w:tcPr>
          <w:p w14:paraId="6B6FE7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41" w:type="dxa"/>
            <w:tcBorders>
              <w:tl2br w:val="nil"/>
              <w:tr2bl w:val="nil"/>
            </w:tcBorders>
            <w:noWrap w:val="0"/>
            <w:tcMar>
              <w:top w:w="75" w:type="dxa"/>
              <w:left w:w="150" w:type="dxa"/>
              <w:bottom w:w="75" w:type="dxa"/>
              <w:right w:w="150" w:type="dxa"/>
            </w:tcMar>
            <w:vAlign w:val="center"/>
          </w:tcPr>
          <w:p w14:paraId="4F320C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r>
      <w:tr w14:paraId="5F28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vMerge w:val="continue"/>
            <w:tcBorders>
              <w:tl2br w:val="nil"/>
              <w:tr2bl w:val="nil"/>
            </w:tcBorders>
            <w:noWrap w:val="0"/>
            <w:tcMar>
              <w:top w:w="75" w:type="dxa"/>
              <w:left w:w="150" w:type="dxa"/>
              <w:bottom w:w="75" w:type="dxa"/>
              <w:right w:w="150" w:type="dxa"/>
            </w:tcMar>
            <w:vAlign w:val="center"/>
          </w:tcPr>
          <w:p w14:paraId="0ECCDD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950" w:type="dxa"/>
            <w:vMerge w:val="continue"/>
            <w:tcBorders>
              <w:tl2br w:val="nil"/>
              <w:tr2bl w:val="nil"/>
            </w:tcBorders>
            <w:noWrap w:val="0"/>
            <w:tcMar>
              <w:top w:w="75" w:type="dxa"/>
              <w:left w:w="150" w:type="dxa"/>
              <w:bottom w:w="75" w:type="dxa"/>
              <w:right w:w="150" w:type="dxa"/>
            </w:tcMar>
            <w:vAlign w:val="center"/>
          </w:tcPr>
          <w:p w14:paraId="405427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val="en-US" w:eastAsia="zh-CN"/>
              </w:rPr>
            </w:pPr>
          </w:p>
        </w:tc>
        <w:tc>
          <w:tcPr>
            <w:tcW w:w="6483" w:type="dxa"/>
            <w:tcBorders>
              <w:tl2br w:val="nil"/>
              <w:tr2bl w:val="nil"/>
            </w:tcBorders>
            <w:shd w:val="clear" w:color="auto" w:fill="auto"/>
            <w:noWrap w:val="0"/>
            <w:tcMar>
              <w:top w:w="75" w:type="dxa"/>
              <w:left w:w="150" w:type="dxa"/>
              <w:bottom w:w="75" w:type="dxa"/>
              <w:right w:w="150" w:type="dxa"/>
            </w:tcMar>
            <w:vAlign w:val="center"/>
          </w:tcPr>
          <w:p w14:paraId="5318C29F">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为本项目投入专业技术人员中</w:t>
            </w:r>
            <w:r>
              <w:rPr>
                <w:rFonts w:hint="eastAsia" w:asciiTheme="minorEastAsia" w:hAnsiTheme="minorEastAsia" w:eastAsiaTheme="minorEastAsia" w:cstheme="minorEastAsia"/>
                <w:sz w:val="21"/>
                <w:szCs w:val="21"/>
                <w:lang w:eastAsia="zh-CN"/>
              </w:rPr>
              <w:t>（项目负责人除外）</w:t>
            </w:r>
            <w:r>
              <w:rPr>
                <w:rFonts w:hint="eastAsia" w:asciiTheme="minorEastAsia" w:hAnsiTheme="minorEastAsia" w:eastAsiaTheme="minorEastAsia" w:cstheme="minorEastAsia"/>
                <w:sz w:val="21"/>
                <w:szCs w:val="21"/>
              </w:rPr>
              <w:t>，每一个环境相关</w:t>
            </w:r>
            <w:r>
              <w:rPr>
                <w:rFonts w:hint="eastAsia" w:asciiTheme="minorEastAsia" w:hAnsiTheme="minorEastAsia" w:eastAsiaTheme="minorEastAsia" w:cstheme="minorEastAsia"/>
                <w:sz w:val="21"/>
                <w:szCs w:val="21"/>
                <w:lang w:eastAsia="zh-CN"/>
              </w:rPr>
              <w:t>高级</w:t>
            </w:r>
            <w:r>
              <w:rPr>
                <w:rFonts w:hint="eastAsia" w:asciiTheme="minorEastAsia" w:hAnsiTheme="minorEastAsia" w:eastAsiaTheme="minorEastAsia" w:cstheme="minorEastAsia"/>
                <w:sz w:val="21"/>
                <w:szCs w:val="21"/>
              </w:rPr>
              <w:t>职称人员得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，中级</w:t>
            </w:r>
            <w:r>
              <w:rPr>
                <w:rFonts w:hint="eastAsia" w:asciiTheme="minorEastAsia" w:hAnsiTheme="minorEastAsia" w:eastAsiaTheme="minorEastAsia" w:cstheme="minorEastAsia"/>
                <w:sz w:val="21"/>
                <w:szCs w:val="21"/>
                <w:lang w:val="en-US" w:eastAsia="zh-CN"/>
              </w:rPr>
              <w:t>1分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本项</w:t>
            </w:r>
            <w:r>
              <w:rPr>
                <w:rFonts w:hint="eastAsia" w:asciiTheme="minorEastAsia" w:hAnsiTheme="minorEastAsia" w:eastAsiaTheme="minorEastAsia" w:cstheme="minorEastAsia"/>
                <w:sz w:val="21"/>
                <w:szCs w:val="21"/>
              </w:rPr>
              <w:t>最高得</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分）；</w:t>
            </w:r>
          </w:p>
          <w:p w14:paraId="51B4B75D">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每一个具有</w:t>
            </w:r>
            <w:r>
              <w:rPr>
                <w:rFonts w:hint="eastAsia" w:asciiTheme="minorEastAsia" w:hAnsiTheme="minorEastAsia" w:eastAsiaTheme="minorEastAsia" w:cstheme="minorEastAsia"/>
                <w:sz w:val="21"/>
                <w:szCs w:val="21"/>
                <w:lang w:eastAsia="zh-CN"/>
              </w:rPr>
              <w:t>省级或以上</w:t>
            </w:r>
            <w:r>
              <w:rPr>
                <w:rFonts w:hint="eastAsia" w:asciiTheme="minorEastAsia" w:hAnsiTheme="minorEastAsia" w:eastAsiaTheme="minorEastAsia" w:cstheme="minorEastAsia"/>
                <w:sz w:val="21"/>
                <w:szCs w:val="21"/>
              </w:rPr>
              <w:t>第三方培训机构颁发的环境检测培训证的专职检测人员</w:t>
            </w:r>
            <w:r>
              <w:rPr>
                <w:rFonts w:hint="eastAsia" w:asciiTheme="minorEastAsia" w:hAnsiTheme="minorEastAsia" w:eastAsiaTheme="minorEastAsia" w:cstheme="minorEastAsia"/>
                <w:sz w:val="21"/>
                <w:szCs w:val="21"/>
                <w:lang w:eastAsia="zh-CN"/>
              </w:rPr>
              <w:t>（项目负责人除外）</w:t>
            </w:r>
            <w:r>
              <w:rPr>
                <w:rFonts w:hint="eastAsia" w:asciiTheme="minorEastAsia" w:hAnsiTheme="minorEastAsia" w:eastAsiaTheme="minorEastAsia" w:cstheme="minorEastAsia"/>
                <w:sz w:val="21"/>
                <w:szCs w:val="21"/>
              </w:rPr>
              <w:t>得</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分（最高不超过</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分）；</w:t>
            </w:r>
          </w:p>
          <w:p w14:paraId="38AB612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（投标文件中须附人员的职称或资格证书复印件及202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月以来连续3个月由投标人为其购买的社保证明复印件，此项同一人只计算一次。）</w:t>
            </w:r>
          </w:p>
        </w:tc>
        <w:tc>
          <w:tcPr>
            <w:tcW w:w="676" w:type="dxa"/>
            <w:tcBorders>
              <w:tl2br w:val="nil"/>
              <w:tr2bl w:val="nil"/>
            </w:tcBorders>
            <w:noWrap w:val="0"/>
            <w:tcMar>
              <w:top w:w="75" w:type="dxa"/>
              <w:left w:w="150" w:type="dxa"/>
              <w:bottom w:w="75" w:type="dxa"/>
              <w:right w:w="150" w:type="dxa"/>
            </w:tcMar>
            <w:vAlign w:val="center"/>
          </w:tcPr>
          <w:p w14:paraId="166210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p>
        </w:tc>
        <w:tc>
          <w:tcPr>
            <w:tcW w:w="1040" w:type="dxa"/>
            <w:tcBorders>
              <w:tl2br w:val="nil"/>
              <w:tr2bl w:val="nil"/>
            </w:tcBorders>
            <w:noWrap w:val="0"/>
            <w:tcMar>
              <w:top w:w="75" w:type="dxa"/>
              <w:left w:w="150" w:type="dxa"/>
              <w:bottom w:w="75" w:type="dxa"/>
              <w:right w:w="150" w:type="dxa"/>
            </w:tcMar>
            <w:vAlign w:val="center"/>
          </w:tcPr>
          <w:p w14:paraId="156867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c>
          <w:tcPr>
            <w:tcW w:w="1041" w:type="dxa"/>
            <w:tcBorders>
              <w:tl2br w:val="nil"/>
              <w:tr2bl w:val="nil"/>
            </w:tcBorders>
            <w:noWrap w:val="0"/>
            <w:tcMar>
              <w:top w:w="75" w:type="dxa"/>
              <w:left w:w="150" w:type="dxa"/>
              <w:bottom w:w="75" w:type="dxa"/>
              <w:right w:w="150" w:type="dxa"/>
            </w:tcMar>
            <w:vAlign w:val="center"/>
          </w:tcPr>
          <w:p w14:paraId="2ACA33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rPr>
            </w:pPr>
          </w:p>
        </w:tc>
      </w:tr>
      <w:tr w14:paraId="3E1A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tcBorders>
              <w:tl2br w:val="nil"/>
              <w:tr2bl w:val="nil"/>
            </w:tcBorders>
            <w:noWrap w:val="0"/>
            <w:tcMar>
              <w:top w:w="75" w:type="dxa"/>
              <w:left w:w="150" w:type="dxa"/>
              <w:bottom w:w="75" w:type="dxa"/>
              <w:right w:w="150" w:type="dxa"/>
            </w:tcMar>
            <w:vAlign w:val="center"/>
          </w:tcPr>
          <w:p w14:paraId="359CD8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950" w:type="dxa"/>
            <w:tcBorders>
              <w:tl2br w:val="nil"/>
              <w:tr2bl w:val="nil"/>
            </w:tcBorders>
            <w:noWrap w:val="0"/>
            <w:tcMar>
              <w:top w:w="75" w:type="dxa"/>
              <w:left w:w="150" w:type="dxa"/>
              <w:bottom w:w="75" w:type="dxa"/>
              <w:right w:w="150" w:type="dxa"/>
            </w:tcMar>
            <w:vAlign w:val="center"/>
          </w:tcPr>
          <w:p w14:paraId="225B3B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体系认证</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4DD6E1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投标人具有ISO9001、</w:t>
            </w:r>
            <w:r>
              <w:rPr>
                <w:rFonts w:hint="eastAsia" w:asciiTheme="minorEastAsia" w:hAnsiTheme="minorEastAsia" w:eastAsiaTheme="minorEastAsia" w:cstheme="minorEastAsia"/>
                <w:sz w:val="21"/>
                <w:szCs w:val="21"/>
                <w:lang w:eastAsia="zh-CN"/>
              </w:rPr>
              <w:t>职业健康安全管理体系认证</w:t>
            </w:r>
            <w:r>
              <w:rPr>
                <w:rFonts w:hint="eastAsia" w:asciiTheme="minorEastAsia" w:hAnsiTheme="minorEastAsia" w:eastAsiaTheme="minorEastAsia" w:cstheme="minorEastAsia"/>
                <w:sz w:val="21"/>
                <w:szCs w:val="21"/>
              </w:rPr>
              <w:t>，一个证书得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分（最高不超过</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w:t>
            </w:r>
          </w:p>
          <w:p w14:paraId="74022B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须</w:t>
            </w:r>
            <w:r>
              <w:rPr>
                <w:rFonts w:hint="eastAsia" w:asciiTheme="minorEastAsia" w:hAnsiTheme="minorEastAsia" w:eastAsiaTheme="minorEastAsia" w:cstheme="minorEastAsia"/>
                <w:sz w:val="21"/>
                <w:szCs w:val="21"/>
              </w:rPr>
              <w:t>同时提供</w:t>
            </w:r>
            <w:r>
              <w:rPr>
                <w:rFonts w:hint="eastAsia" w:asciiTheme="minorEastAsia" w:hAnsiTheme="minorEastAsia" w:eastAsiaTheme="minorEastAsia" w:cstheme="minorEastAsia"/>
                <w:sz w:val="21"/>
                <w:szCs w:val="21"/>
                <w:lang w:val="en-US" w:eastAsia="zh-CN"/>
              </w:rPr>
              <w:t>认证</w:t>
            </w:r>
            <w:r>
              <w:rPr>
                <w:rFonts w:hint="eastAsia" w:asciiTheme="minorEastAsia" w:hAnsiTheme="minorEastAsia" w:eastAsiaTheme="minorEastAsia" w:cstheme="minorEastAsia"/>
                <w:sz w:val="21"/>
                <w:szCs w:val="21"/>
              </w:rPr>
              <w:t>证书复印件</w:t>
            </w:r>
            <w:r>
              <w:rPr>
                <w:rFonts w:hint="eastAsia" w:asciiTheme="minorEastAsia" w:hAnsiTheme="minorEastAsia" w:eastAsiaTheme="minorEastAsia" w:cstheme="minorEastAsia"/>
                <w:sz w:val="21"/>
                <w:szCs w:val="21"/>
                <w:lang w:val="en-US" w:eastAsia="zh-CN"/>
              </w:rPr>
              <w:t>及</w:t>
            </w: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sz w:val="21"/>
                <w:szCs w:val="21"/>
                <w:lang w:val="en-US" w:eastAsia="zh-CN"/>
              </w:rPr>
              <w:t>全</w:t>
            </w:r>
            <w:r>
              <w:rPr>
                <w:rFonts w:hint="eastAsia" w:asciiTheme="minorEastAsia" w:hAnsiTheme="minorEastAsia" w:eastAsiaTheme="minorEastAsia" w:cstheme="minorEastAsia"/>
                <w:sz w:val="21"/>
                <w:szCs w:val="21"/>
              </w:rPr>
              <w:t>国认证认可</w:t>
            </w:r>
            <w:r>
              <w:rPr>
                <w:rFonts w:hint="eastAsia" w:asciiTheme="minorEastAsia" w:hAnsiTheme="minorEastAsia" w:eastAsiaTheme="minorEastAsia" w:cstheme="minorEastAsia"/>
                <w:sz w:val="21"/>
                <w:szCs w:val="21"/>
                <w:lang w:val="en-US" w:eastAsia="zh-CN"/>
              </w:rPr>
              <w:t>信息公共服务平台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http://cx</w:t>
            </w:r>
            <w:r>
              <w:rPr>
                <w:rFonts w:hint="eastAsia" w:asciiTheme="minorEastAsia" w:hAnsiTheme="minorEastAsia" w:eastAsiaTheme="minorEastAsia" w:cstheme="minorEastAsia"/>
                <w:sz w:val="21"/>
                <w:szCs w:val="21"/>
              </w:rPr>
              <w:t>.cnca.</w:t>
            </w:r>
            <w:r>
              <w:rPr>
                <w:rFonts w:hint="eastAsia" w:asciiTheme="minorEastAsia" w:hAnsiTheme="minorEastAsia" w:eastAsiaTheme="minorEastAsia" w:cstheme="minorEastAsia"/>
                <w:sz w:val="21"/>
                <w:szCs w:val="21"/>
                <w:lang w:val="en-US" w:eastAsia="zh-CN"/>
              </w:rPr>
              <w:t>cn/CertECloud/index/page</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对体系证书的信息</w:t>
            </w: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询</w:t>
            </w:r>
            <w:r>
              <w:rPr>
                <w:rFonts w:hint="eastAsia" w:asciiTheme="minorEastAsia" w:hAnsiTheme="minorEastAsia" w:eastAsiaTheme="minorEastAsia" w:cstheme="minorEastAsia"/>
                <w:sz w:val="21"/>
                <w:szCs w:val="21"/>
              </w:rPr>
              <w:t>“有效”</w:t>
            </w:r>
            <w:r>
              <w:rPr>
                <w:rFonts w:hint="eastAsia" w:asciiTheme="minorEastAsia" w:hAnsiTheme="minorEastAsia" w:eastAsiaTheme="minorEastAsia" w:cstheme="minorEastAsia"/>
                <w:sz w:val="21"/>
                <w:szCs w:val="21"/>
                <w:lang w:val="en-US" w:eastAsia="zh-CN"/>
              </w:rPr>
              <w:t>截图作为</w:t>
            </w:r>
            <w:r>
              <w:rPr>
                <w:rFonts w:hint="eastAsia" w:asciiTheme="minorEastAsia" w:hAnsiTheme="minorEastAsia" w:eastAsiaTheme="minorEastAsia" w:cstheme="minorEastAsia"/>
                <w:sz w:val="21"/>
                <w:szCs w:val="21"/>
              </w:rPr>
              <w:t>证明材料，</w:t>
            </w:r>
            <w:r>
              <w:rPr>
                <w:rFonts w:hint="eastAsia" w:asciiTheme="minorEastAsia" w:hAnsiTheme="minorEastAsia" w:eastAsiaTheme="minorEastAsia" w:cstheme="minorEastAsia"/>
                <w:sz w:val="21"/>
                <w:szCs w:val="21"/>
                <w:lang w:val="en-US" w:eastAsia="zh-CN"/>
              </w:rPr>
              <w:t>已失效、撤销、暂停或</w:t>
            </w:r>
            <w:r>
              <w:rPr>
                <w:rFonts w:hint="eastAsia" w:asciiTheme="minorEastAsia" w:hAnsiTheme="minorEastAsia" w:eastAsiaTheme="minorEastAsia" w:cstheme="minorEastAsia"/>
                <w:sz w:val="21"/>
                <w:szCs w:val="21"/>
              </w:rPr>
              <w:t>不提供</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不得分）并加盖投标人公章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tc>
        <w:tc>
          <w:tcPr>
            <w:tcW w:w="676" w:type="dxa"/>
            <w:tcBorders>
              <w:tl2br w:val="nil"/>
              <w:tr2bl w:val="nil"/>
            </w:tcBorders>
            <w:noWrap w:val="0"/>
            <w:tcMar>
              <w:top w:w="75" w:type="dxa"/>
              <w:left w:w="150" w:type="dxa"/>
              <w:bottom w:w="75" w:type="dxa"/>
              <w:right w:w="150" w:type="dxa"/>
            </w:tcMar>
            <w:vAlign w:val="center"/>
          </w:tcPr>
          <w:p w14:paraId="30023E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040" w:type="dxa"/>
            <w:tcBorders>
              <w:tl2br w:val="nil"/>
              <w:tr2bl w:val="nil"/>
            </w:tcBorders>
            <w:noWrap w:val="0"/>
            <w:tcMar>
              <w:top w:w="75" w:type="dxa"/>
              <w:left w:w="150" w:type="dxa"/>
              <w:bottom w:w="75" w:type="dxa"/>
              <w:right w:w="150" w:type="dxa"/>
            </w:tcMar>
            <w:vAlign w:val="center"/>
          </w:tcPr>
          <w:p w14:paraId="2ADBEB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41" w:type="dxa"/>
            <w:tcBorders>
              <w:tl2br w:val="nil"/>
              <w:tr2bl w:val="nil"/>
            </w:tcBorders>
            <w:noWrap w:val="0"/>
            <w:tcMar>
              <w:top w:w="75" w:type="dxa"/>
              <w:left w:w="150" w:type="dxa"/>
              <w:bottom w:w="75" w:type="dxa"/>
              <w:right w:w="150" w:type="dxa"/>
            </w:tcMar>
            <w:vAlign w:val="center"/>
          </w:tcPr>
          <w:p w14:paraId="36E34E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r>
      <w:tr w14:paraId="7DF7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tcBorders>
              <w:tl2br w:val="nil"/>
              <w:tr2bl w:val="nil"/>
            </w:tcBorders>
            <w:noWrap w:val="0"/>
            <w:tcMar>
              <w:top w:w="75" w:type="dxa"/>
              <w:left w:w="150" w:type="dxa"/>
              <w:bottom w:w="75" w:type="dxa"/>
              <w:right w:w="150" w:type="dxa"/>
            </w:tcMar>
            <w:vAlign w:val="center"/>
          </w:tcPr>
          <w:p w14:paraId="24C70A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lang w:val="en-US" w:eastAsia="zh-CN"/>
              </w:rPr>
              <w:t>5</w:t>
            </w:r>
          </w:p>
        </w:tc>
        <w:tc>
          <w:tcPr>
            <w:tcW w:w="950" w:type="dxa"/>
            <w:tcBorders>
              <w:tl2br w:val="nil"/>
              <w:tr2bl w:val="nil"/>
            </w:tcBorders>
            <w:noWrap w:val="0"/>
            <w:tcMar>
              <w:top w:w="75" w:type="dxa"/>
              <w:left w:w="150" w:type="dxa"/>
              <w:bottom w:w="75" w:type="dxa"/>
              <w:right w:w="150" w:type="dxa"/>
            </w:tcMar>
            <w:vAlign w:val="center"/>
          </w:tcPr>
          <w:p w14:paraId="5AA850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lang w:eastAsia="zh-CN"/>
              </w:rPr>
              <w:t>能力验证证书</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0B399B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投标人每提供1份证书得1分（</w:t>
            </w:r>
            <w:r>
              <w:rPr>
                <w:rFonts w:hint="eastAsia" w:asciiTheme="minorEastAsia" w:hAnsiTheme="minorEastAsia" w:eastAsiaTheme="minorEastAsia" w:cstheme="minorEastAsia"/>
                <w:sz w:val="21"/>
                <w:szCs w:val="21"/>
              </w:rPr>
              <w:t>最高不超过</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p w14:paraId="5B9FE1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lang w:val="en-US" w:eastAsia="zh-CN"/>
              </w:rPr>
              <w:t>（注：须</w:t>
            </w:r>
            <w:r>
              <w:rPr>
                <w:rFonts w:hint="eastAsia" w:asciiTheme="minorEastAsia" w:hAnsiTheme="minorEastAsia" w:eastAsiaTheme="minorEastAsia" w:cstheme="minorEastAsia"/>
                <w:sz w:val="21"/>
                <w:szCs w:val="21"/>
              </w:rPr>
              <w:t>同时提供</w:t>
            </w:r>
            <w:r>
              <w:rPr>
                <w:rFonts w:hint="eastAsia" w:asciiTheme="minorEastAsia" w:hAnsiTheme="minorEastAsia" w:eastAsiaTheme="minorEastAsia" w:cstheme="minorEastAsia"/>
                <w:sz w:val="21"/>
                <w:szCs w:val="21"/>
                <w:lang w:val="en-US" w:eastAsia="zh-CN"/>
              </w:rPr>
              <w:t>认证</w:t>
            </w:r>
            <w:r>
              <w:rPr>
                <w:rFonts w:hint="eastAsia" w:asciiTheme="minorEastAsia" w:hAnsiTheme="minorEastAsia" w:eastAsiaTheme="minorEastAsia" w:cstheme="minorEastAsia"/>
                <w:sz w:val="21"/>
                <w:szCs w:val="21"/>
              </w:rPr>
              <w:t>证书复印件</w:t>
            </w:r>
            <w:r>
              <w:rPr>
                <w:rFonts w:hint="eastAsia" w:asciiTheme="minorEastAsia" w:hAnsiTheme="minorEastAsia" w:eastAsiaTheme="minorEastAsia" w:cstheme="minorEastAsia"/>
                <w:sz w:val="21"/>
                <w:szCs w:val="21"/>
                <w:lang w:val="en-US" w:eastAsia="zh-CN"/>
              </w:rPr>
              <w:t>并加盖公章。）</w:t>
            </w:r>
          </w:p>
        </w:tc>
        <w:tc>
          <w:tcPr>
            <w:tcW w:w="676" w:type="dxa"/>
            <w:tcBorders>
              <w:tl2br w:val="nil"/>
              <w:tr2bl w:val="nil"/>
            </w:tcBorders>
            <w:noWrap w:val="0"/>
            <w:tcMar>
              <w:top w:w="75" w:type="dxa"/>
              <w:left w:w="150" w:type="dxa"/>
              <w:bottom w:w="75" w:type="dxa"/>
              <w:right w:w="150" w:type="dxa"/>
            </w:tcMar>
            <w:vAlign w:val="center"/>
          </w:tcPr>
          <w:p w14:paraId="42B6FD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lang w:val="en-US" w:eastAsia="zh-CN"/>
              </w:rPr>
              <w:t>5</w:t>
            </w:r>
          </w:p>
        </w:tc>
        <w:tc>
          <w:tcPr>
            <w:tcW w:w="1040" w:type="dxa"/>
            <w:tcBorders>
              <w:tl2br w:val="nil"/>
              <w:tr2bl w:val="nil"/>
            </w:tcBorders>
            <w:noWrap w:val="0"/>
            <w:tcMar>
              <w:top w:w="75" w:type="dxa"/>
              <w:left w:w="150" w:type="dxa"/>
              <w:bottom w:w="75" w:type="dxa"/>
              <w:right w:w="150" w:type="dxa"/>
            </w:tcMar>
            <w:vAlign w:val="center"/>
          </w:tcPr>
          <w:p w14:paraId="2678C0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41" w:type="dxa"/>
            <w:tcBorders>
              <w:tl2br w:val="nil"/>
              <w:tr2bl w:val="nil"/>
            </w:tcBorders>
            <w:noWrap w:val="0"/>
            <w:tcMar>
              <w:top w:w="75" w:type="dxa"/>
              <w:left w:w="150" w:type="dxa"/>
              <w:bottom w:w="75" w:type="dxa"/>
              <w:right w:w="150" w:type="dxa"/>
            </w:tcMar>
            <w:vAlign w:val="center"/>
          </w:tcPr>
          <w:p w14:paraId="490D3B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r>
      <w:tr w14:paraId="0054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tcBorders>
              <w:tl2br w:val="nil"/>
              <w:tr2bl w:val="nil"/>
            </w:tcBorders>
            <w:noWrap w:val="0"/>
            <w:tcMar>
              <w:top w:w="75" w:type="dxa"/>
              <w:left w:w="150" w:type="dxa"/>
              <w:bottom w:w="75" w:type="dxa"/>
              <w:right w:w="150" w:type="dxa"/>
            </w:tcMar>
            <w:vAlign w:val="center"/>
          </w:tcPr>
          <w:p w14:paraId="7A8583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950" w:type="dxa"/>
            <w:tcBorders>
              <w:tl2br w:val="nil"/>
              <w:tr2bl w:val="nil"/>
            </w:tcBorders>
            <w:noWrap w:val="0"/>
            <w:tcMar>
              <w:top w:w="75" w:type="dxa"/>
              <w:left w:w="150" w:type="dxa"/>
              <w:bottom w:w="75" w:type="dxa"/>
              <w:right w:w="150" w:type="dxa"/>
            </w:tcMar>
            <w:vAlign w:val="center"/>
          </w:tcPr>
          <w:p w14:paraId="692CFA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业绩</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05B7A6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lang w:val="en-US" w:eastAsia="zh-CN"/>
              </w:rPr>
              <w:t>2023年以来（合同签订时间为准）投标人承接企业委托的环境类检测项目且单项目业绩在20万以上，每提供一份业绩得1分，最高5分（投标文件中须附业绩合同关键页复印件和中标通知书复印件）</w:t>
            </w:r>
          </w:p>
        </w:tc>
        <w:tc>
          <w:tcPr>
            <w:tcW w:w="676" w:type="dxa"/>
            <w:tcBorders>
              <w:tl2br w:val="nil"/>
              <w:tr2bl w:val="nil"/>
            </w:tcBorders>
            <w:noWrap w:val="0"/>
            <w:tcMar>
              <w:top w:w="75" w:type="dxa"/>
              <w:left w:w="150" w:type="dxa"/>
              <w:bottom w:w="75" w:type="dxa"/>
              <w:right w:w="150" w:type="dxa"/>
            </w:tcMar>
            <w:vAlign w:val="center"/>
          </w:tcPr>
          <w:p w14:paraId="324A46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040" w:type="dxa"/>
            <w:tcBorders>
              <w:tl2br w:val="nil"/>
              <w:tr2bl w:val="nil"/>
            </w:tcBorders>
            <w:noWrap w:val="0"/>
            <w:tcMar>
              <w:top w:w="75" w:type="dxa"/>
              <w:left w:w="150" w:type="dxa"/>
              <w:bottom w:w="75" w:type="dxa"/>
              <w:right w:w="150" w:type="dxa"/>
            </w:tcMar>
            <w:vAlign w:val="center"/>
          </w:tcPr>
          <w:p w14:paraId="79BCD7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41" w:type="dxa"/>
            <w:tcBorders>
              <w:tl2br w:val="nil"/>
              <w:tr2bl w:val="nil"/>
            </w:tcBorders>
            <w:noWrap w:val="0"/>
            <w:tcMar>
              <w:top w:w="75" w:type="dxa"/>
              <w:left w:w="150" w:type="dxa"/>
              <w:bottom w:w="75" w:type="dxa"/>
              <w:right w:w="150" w:type="dxa"/>
            </w:tcMar>
            <w:vAlign w:val="center"/>
          </w:tcPr>
          <w:p w14:paraId="3B24A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r>
      <w:tr w14:paraId="361F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541" w:type="dxa"/>
            <w:tcBorders>
              <w:tl2br w:val="nil"/>
              <w:tr2bl w:val="nil"/>
            </w:tcBorders>
            <w:noWrap w:val="0"/>
            <w:tcMar>
              <w:top w:w="75" w:type="dxa"/>
              <w:left w:w="150" w:type="dxa"/>
              <w:bottom w:w="75" w:type="dxa"/>
              <w:right w:w="150" w:type="dxa"/>
            </w:tcMar>
            <w:vAlign w:val="center"/>
          </w:tcPr>
          <w:p w14:paraId="57F3C8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950" w:type="dxa"/>
            <w:tcBorders>
              <w:tl2br w:val="nil"/>
              <w:tr2bl w:val="nil"/>
            </w:tcBorders>
            <w:noWrap w:val="0"/>
            <w:tcMar>
              <w:top w:w="75" w:type="dxa"/>
              <w:left w:w="150" w:type="dxa"/>
              <w:bottom w:w="75" w:type="dxa"/>
              <w:right w:w="150" w:type="dxa"/>
            </w:tcMar>
            <w:vAlign w:val="center"/>
          </w:tcPr>
          <w:p w14:paraId="4F4826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投标报价</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36D3D9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投标报价得分＝（评标基准价/投标报价）×价格分值</w:t>
            </w:r>
            <w:r>
              <w:rPr>
                <w:rFonts w:hint="eastAsia" w:asciiTheme="minorEastAsia" w:hAnsiTheme="minorEastAsia" w:eastAsiaTheme="minorEastAsia" w:cstheme="minorEastAsia"/>
                <w:sz w:val="21"/>
                <w:szCs w:val="21"/>
                <w:lang w:val="en-US" w:eastAsia="zh-CN"/>
              </w:rPr>
              <w:t xml:space="preserve"> </w:t>
            </w:r>
          </w:p>
          <w:p w14:paraId="6FDC46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lang w:val="en-US" w:eastAsia="zh-CN"/>
              </w:rPr>
              <w:t>（注：满足招标文件要求且投标价格最低的投标报价为评标基准价）</w:t>
            </w:r>
          </w:p>
        </w:tc>
        <w:tc>
          <w:tcPr>
            <w:tcW w:w="676" w:type="dxa"/>
            <w:tcBorders>
              <w:tl2br w:val="nil"/>
              <w:tr2bl w:val="nil"/>
            </w:tcBorders>
            <w:noWrap w:val="0"/>
            <w:tcMar>
              <w:top w:w="75" w:type="dxa"/>
              <w:left w:w="150" w:type="dxa"/>
              <w:bottom w:w="75" w:type="dxa"/>
              <w:right w:w="150" w:type="dxa"/>
            </w:tcMar>
            <w:vAlign w:val="center"/>
          </w:tcPr>
          <w:p w14:paraId="68CCA3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040" w:type="dxa"/>
            <w:tcBorders>
              <w:tl2br w:val="nil"/>
              <w:tr2bl w:val="nil"/>
            </w:tcBorders>
            <w:noWrap w:val="0"/>
            <w:tcMar>
              <w:top w:w="75" w:type="dxa"/>
              <w:left w:w="150" w:type="dxa"/>
              <w:bottom w:w="75" w:type="dxa"/>
              <w:right w:w="150" w:type="dxa"/>
            </w:tcMar>
            <w:vAlign w:val="center"/>
          </w:tcPr>
          <w:p w14:paraId="27AF69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041" w:type="dxa"/>
            <w:tcBorders>
              <w:tl2br w:val="nil"/>
              <w:tr2bl w:val="nil"/>
            </w:tcBorders>
            <w:noWrap w:val="0"/>
            <w:tcMar>
              <w:top w:w="75" w:type="dxa"/>
              <w:left w:w="150" w:type="dxa"/>
              <w:bottom w:w="75" w:type="dxa"/>
              <w:right w:w="150" w:type="dxa"/>
            </w:tcMar>
            <w:vAlign w:val="center"/>
          </w:tcPr>
          <w:p w14:paraId="6DBDAA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sz w:val="21"/>
                <w:szCs w:val="21"/>
                <w:lang w:val="en-US" w:eastAsia="zh-CN"/>
              </w:rPr>
            </w:pPr>
          </w:p>
        </w:tc>
      </w:tr>
      <w:tr w14:paraId="2611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1491" w:type="dxa"/>
            <w:gridSpan w:val="2"/>
            <w:tcBorders>
              <w:tl2br w:val="nil"/>
              <w:tr2bl w:val="nil"/>
            </w:tcBorders>
            <w:noWrap w:val="0"/>
            <w:tcMar>
              <w:top w:w="75" w:type="dxa"/>
              <w:left w:w="150" w:type="dxa"/>
              <w:bottom w:w="75" w:type="dxa"/>
              <w:right w:w="150" w:type="dxa"/>
            </w:tcMar>
            <w:vAlign w:val="center"/>
          </w:tcPr>
          <w:p w14:paraId="3720F9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合计</w:t>
            </w:r>
          </w:p>
        </w:tc>
        <w:tc>
          <w:tcPr>
            <w:tcW w:w="6483" w:type="dxa"/>
            <w:tcBorders>
              <w:tl2br w:val="nil"/>
              <w:tr2bl w:val="nil"/>
            </w:tcBorders>
            <w:shd w:val="clear" w:color="auto" w:fill="auto"/>
            <w:noWrap w:val="0"/>
            <w:tcMar>
              <w:top w:w="75" w:type="dxa"/>
              <w:left w:w="150" w:type="dxa"/>
              <w:bottom w:w="75" w:type="dxa"/>
              <w:right w:w="150" w:type="dxa"/>
            </w:tcMar>
            <w:vAlign w:val="center"/>
          </w:tcPr>
          <w:p w14:paraId="037810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left"/>
              <w:textAlignment w:val="auto"/>
              <w:rPr>
                <w:rFonts w:hint="eastAsia" w:asciiTheme="minorEastAsia" w:hAnsiTheme="minorEastAsia" w:eastAsiaTheme="minorEastAsia" w:cstheme="minorEastAsia"/>
                <w:b/>
                <w:kern w:val="0"/>
                <w:sz w:val="21"/>
                <w:szCs w:val="21"/>
                <w:lang w:val="en-US" w:eastAsia="zh-CN" w:bidi="ar"/>
              </w:rPr>
            </w:pPr>
            <w:r>
              <w:rPr>
                <w:rFonts w:hint="eastAsia" w:asciiTheme="minorEastAsia" w:hAnsiTheme="minorEastAsia" w:eastAsiaTheme="minorEastAsia" w:cstheme="minorEastAsia"/>
                <w:b/>
                <w:sz w:val="21"/>
                <w:szCs w:val="21"/>
              </w:rPr>
              <w:t>评分合计</w:t>
            </w:r>
          </w:p>
        </w:tc>
        <w:tc>
          <w:tcPr>
            <w:tcW w:w="676" w:type="dxa"/>
            <w:tcBorders>
              <w:tl2br w:val="nil"/>
              <w:tr2bl w:val="nil"/>
            </w:tcBorders>
            <w:noWrap w:val="0"/>
            <w:tcMar>
              <w:top w:w="75" w:type="dxa"/>
              <w:left w:w="150" w:type="dxa"/>
              <w:bottom w:w="75" w:type="dxa"/>
              <w:right w:w="150" w:type="dxa"/>
            </w:tcMar>
            <w:vAlign w:val="center"/>
          </w:tcPr>
          <w:p w14:paraId="701404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100</w:t>
            </w:r>
          </w:p>
        </w:tc>
        <w:tc>
          <w:tcPr>
            <w:tcW w:w="1040" w:type="dxa"/>
            <w:tcBorders>
              <w:tl2br w:val="nil"/>
              <w:tr2bl w:val="nil"/>
            </w:tcBorders>
            <w:noWrap w:val="0"/>
            <w:tcMar>
              <w:top w:w="75" w:type="dxa"/>
              <w:left w:w="150" w:type="dxa"/>
              <w:bottom w:w="75" w:type="dxa"/>
              <w:right w:w="150" w:type="dxa"/>
            </w:tcMar>
            <w:vAlign w:val="center"/>
          </w:tcPr>
          <w:p w14:paraId="357207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sz w:val="21"/>
                <w:szCs w:val="21"/>
              </w:rPr>
            </w:pPr>
          </w:p>
        </w:tc>
        <w:tc>
          <w:tcPr>
            <w:tcW w:w="1041" w:type="dxa"/>
            <w:tcBorders>
              <w:tl2br w:val="nil"/>
              <w:tr2bl w:val="nil"/>
            </w:tcBorders>
            <w:noWrap w:val="0"/>
            <w:tcMar>
              <w:top w:w="75" w:type="dxa"/>
              <w:left w:w="150" w:type="dxa"/>
              <w:bottom w:w="75" w:type="dxa"/>
              <w:right w:w="150" w:type="dxa"/>
            </w:tcMar>
            <w:vAlign w:val="center"/>
          </w:tcPr>
          <w:p w14:paraId="23EEF8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rPr>
                <w:rFonts w:hint="eastAsia" w:asciiTheme="minorEastAsia" w:hAnsiTheme="minorEastAsia" w:eastAsiaTheme="minorEastAsia" w:cstheme="minorEastAsia"/>
                <w:b/>
                <w:sz w:val="21"/>
                <w:szCs w:val="21"/>
              </w:rPr>
            </w:pPr>
          </w:p>
        </w:tc>
      </w:tr>
    </w:tbl>
    <w:p w14:paraId="58C6224F">
      <w:pPr>
        <w:keepNext w:val="0"/>
        <w:keepLines w:val="0"/>
        <w:pageBreakBefore w:val="0"/>
        <w:widowControl w:val="0"/>
        <w:tabs>
          <w:tab w:val="left" w:pos="1616"/>
        </w:tabs>
        <w:kinsoku/>
        <w:wordWrap/>
        <w:overflowPunct/>
        <w:topLinePunct w:val="0"/>
        <w:autoSpaceDE/>
        <w:autoSpaceDN/>
        <w:bidi w:val="0"/>
        <w:adjustRightInd/>
        <w:snapToGrid/>
        <w:spacing w:line="20" w:lineRule="exact"/>
        <w:jc w:val="left"/>
        <w:textAlignment w:val="auto"/>
        <w:rPr>
          <w:rFonts w:hint="eastAsia" w:ascii="Times New Roman" w:hAnsi="Times New Roman" w:eastAsia="宋体" w:cs="Times New Roman"/>
          <w:kern w:val="2"/>
          <w:sz w:val="10"/>
          <w:szCs w:val="10"/>
          <w:lang w:val="en-US" w:eastAsia="zh-CN" w:bidi="ar-SA"/>
        </w:rPr>
      </w:pPr>
    </w:p>
    <w:sectPr>
      <w:headerReference r:id="rId3" w:type="default"/>
      <w:footerReference r:id="rId4" w:type="default"/>
      <w:pgSz w:w="11906" w:h="16838"/>
      <w:pgMar w:top="720" w:right="340" w:bottom="527" w:left="340" w:header="231"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r>
      <w:rPr>
        <w:rFonts w:hint="eastAsia" w:ascii="宋体" w:hAnsi="宋体"/>
        <w:b/>
        <w:bCs w:val="0"/>
        <w:sz w:val="24"/>
        <w:szCs w:val="24"/>
      </w:rPr>
      <w:t>专家签名：</w:t>
    </w:r>
    <w:r>
      <w:rPr>
        <w:rFonts w:hint="eastAsia" w:ascii="宋体" w:hAnsi="宋体"/>
        <w:b/>
        <w:bCs w:val="0"/>
        <w:sz w:val="24"/>
        <w:szCs w:val="24"/>
      </w:rPr>
      <w:tab/>
    </w:r>
    <w:r>
      <w:rPr>
        <w:rFonts w:hint="eastAsia" w:ascii="宋体" w:hAnsi="宋体"/>
        <w:b/>
        <w:bCs w:val="0"/>
        <w:sz w:val="24"/>
        <w:szCs w:val="24"/>
        <w:lang w:val="en-US" w:eastAsia="zh-CN"/>
      </w:rPr>
      <w:t xml:space="preserve">               </w:t>
    </w:r>
    <w:r>
      <w:rPr>
        <w:rFonts w:hint="eastAsia" w:ascii="宋体" w:hAnsi="宋体"/>
        <w:b/>
        <w:bCs w:val="0"/>
        <w:sz w:val="24"/>
        <w:szCs w:val="24"/>
      </w:rPr>
      <w:tab/>
    </w:r>
    <w:r>
      <w:rPr>
        <w:rFonts w:hint="eastAsia" w:ascii="宋体" w:hAnsi="宋体"/>
        <w:b/>
        <w:bCs w:val="0"/>
        <w:sz w:val="24"/>
        <w:szCs w:val="24"/>
      </w:rPr>
      <w:t>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6"/>
      <w:keepNext w:val="0"/>
      <w:keepLines w:val="0"/>
      <w:pageBreakBefore w:val="0"/>
      <w:widowControl w:val="0"/>
      <w:pBdr>
        <w:bottom w:val="none" w:color="auto" w:sz="0" w:space="1"/>
      </w:pBdr>
      <w:kinsoku/>
      <w:wordWrap/>
      <w:overflowPunct/>
      <w:topLinePunct w:val="0"/>
      <w:bidi w:val="0"/>
      <w:adjustRightInd/>
      <w:snapToGrid w:val="0"/>
      <w:spacing w:line="520" w:lineRule="exact"/>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江门市妇幼保健院招采项目评分表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6C13E"/>
    <w:multiLevelType w:val="singleLevel"/>
    <w:tmpl w:val="70C6C13E"/>
    <w:lvl w:ilvl="0" w:tentative="0">
      <w:start w:val="1"/>
      <w:numFmt w:val="decimal"/>
      <w:suff w:val="nothing"/>
      <w:lvlText w:val="%1、"/>
      <w:lvlJc w:val="left"/>
      <w:rPr>
        <w:rFonts w:hint="default"/>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7136E"/>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F5457FA"/>
    <w:rsid w:val="0FC22C67"/>
    <w:rsid w:val="10BB6702"/>
    <w:rsid w:val="11C955BB"/>
    <w:rsid w:val="12492775"/>
    <w:rsid w:val="129E6898"/>
    <w:rsid w:val="136646D4"/>
    <w:rsid w:val="13EC5F71"/>
    <w:rsid w:val="13F27D2F"/>
    <w:rsid w:val="14D342B9"/>
    <w:rsid w:val="155434D9"/>
    <w:rsid w:val="15992D7D"/>
    <w:rsid w:val="16550F32"/>
    <w:rsid w:val="16A135AF"/>
    <w:rsid w:val="16EA4CA9"/>
    <w:rsid w:val="16EC4928"/>
    <w:rsid w:val="17697775"/>
    <w:rsid w:val="17841624"/>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B482E6A"/>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7204800"/>
    <w:rsid w:val="57503424"/>
    <w:rsid w:val="597466A4"/>
    <w:rsid w:val="5B237E93"/>
    <w:rsid w:val="5C2B06C5"/>
    <w:rsid w:val="5E1C33F4"/>
    <w:rsid w:val="5E3B7AF9"/>
    <w:rsid w:val="5FE22D60"/>
    <w:rsid w:val="60017D91"/>
    <w:rsid w:val="606964BC"/>
    <w:rsid w:val="60CC2CDD"/>
    <w:rsid w:val="636D582F"/>
    <w:rsid w:val="6395523F"/>
    <w:rsid w:val="63E818F6"/>
    <w:rsid w:val="646060BC"/>
    <w:rsid w:val="64617060"/>
    <w:rsid w:val="64A010A4"/>
    <w:rsid w:val="64C115D9"/>
    <w:rsid w:val="65D16E38"/>
    <w:rsid w:val="665477F1"/>
    <w:rsid w:val="66C22023"/>
    <w:rsid w:val="66E42BA0"/>
    <w:rsid w:val="6712692A"/>
    <w:rsid w:val="67361858"/>
    <w:rsid w:val="67953680"/>
    <w:rsid w:val="685933BE"/>
    <w:rsid w:val="69783B7C"/>
    <w:rsid w:val="69E63E4A"/>
    <w:rsid w:val="6AB06D96"/>
    <w:rsid w:val="6AD12B4E"/>
    <w:rsid w:val="6CBC665B"/>
    <w:rsid w:val="6D8A74C3"/>
    <w:rsid w:val="6DDA2CA0"/>
    <w:rsid w:val="72AE42B2"/>
    <w:rsid w:val="73B4366E"/>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outlineLvl w:val="2"/>
    </w:pPr>
    <w:rPr>
      <w:rFonts w:ascii="楷体_GB2312" w:hAnsi="宋体" w:eastAsia="楷体_GB2312"/>
      <w:b/>
      <w:bCs/>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Plain Text"/>
    <w:basedOn w:val="1"/>
    <w:link w:val="16"/>
    <w:unhideWhenUsed/>
    <w:qFormat/>
    <w:uiPriority w:val="0"/>
    <w:rPr>
      <w:rFonts w:ascii="宋体" w:hAnsi="Courier New" w:cstheme="minorBidi"/>
      <w:szCs w:val="2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locked/>
    <w:uiPriority w:val="0"/>
    <w:rPr>
      <w:rFonts w:ascii="宋体" w:hAnsi="Courier New" w:eastAsia="宋体"/>
    </w:rPr>
  </w:style>
  <w:style w:type="character" w:customStyle="1" w:styleId="16">
    <w:name w:val="纯文本 Char1"/>
    <w:basedOn w:val="10"/>
    <w:link w:val="4"/>
    <w:semiHidden/>
    <w:qFormat/>
    <w:uiPriority w:val="99"/>
    <w:rPr>
      <w:rFonts w:ascii="宋体" w:hAnsi="Courier New" w:eastAsia="宋体" w:cs="Courier New"/>
      <w:szCs w:val="21"/>
    </w:rPr>
  </w:style>
  <w:style w:type="paragraph" w:customStyle="1" w:styleId="17">
    <w:name w:val="null3"/>
    <w:qFormat/>
    <w:uiPriority w:val="0"/>
    <w:rPr>
      <w:rFonts w:hint="eastAsia" w:ascii="Calibri" w:hAnsi="Calibri" w:eastAsia="宋体" w:cs="宋体"/>
      <w:kern w:val="0"/>
      <w:sz w:val="20"/>
      <w:szCs w:val="20"/>
      <w:lang w:val="en-US" w:eastAsia="zh-CN" w:bidi="ar-SA"/>
    </w:rPr>
  </w:style>
  <w:style w:type="paragraph" w:customStyle="1" w:styleId="1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1340</Words>
  <Characters>1428</Characters>
  <Lines>9</Lines>
  <Paragraphs>2</Paragraphs>
  <TotalTime>5</TotalTime>
  <ScaleCrop>false</ScaleCrop>
  <LinksUpToDate>false</LinksUpToDate>
  <CharactersWithSpaces>1429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2025-07-11T07:48:00Z</dcterms:created>
  <dc:creator>倪良军</dc:creator>
  <cp:lastModifiedBy>伍卓坚</cp:lastModifiedBy>
  <cp:lastPrinted>2025-11-20T09:20:00Z</cp:lastPrinted>
  <dcterms:modified xsi:type="dcterms:W3CDTF">2025-12-10T07:34:28Z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eyJoZGlkIjoiOWUyYTNmZmQxYzFjNWVlOTU2MzQ4YTlmNTE3YjIwNzUiLCJ1c2VySWQiOiIyMjY0NjUzODUifQ==</vt:lpwstr>
  </property>
  <property fmtid="{D5CDD505-2E9C-101B-9397-08002B2CF9AE}" pid="4" name="ICV">
    <vt:lpwstr>2E1E384A214E4122BEFE362DD0460F7E_13</vt:lpwstr>
  </property>
</Properties>
</file>