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43ABB">
      <w:pPr>
        <w:spacing w:after="240"/>
        <w:jc w:val="center"/>
        <w:rPr>
          <w:rStyle w:val="8"/>
          <w:rFonts w:hint="eastAsia" w:ascii="方正小标宋简体" w:hAnsi="方正小标宋简体" w:eastAsia="方正小标宋简体" w:cs="方正小标宋简体"/>
          <w:b w:val="0"/>
          <w:bCs/>
          <w:sz w:val="44"/>
          <w:szCs w:val="44"/>
        </w:rPr>
      </w:pPr>
      <w:bookmarkStart w:id="0" w:name="_GoBack"/>
      <w:r>
        <w:rPr>
          <w:rStyle w:val="8"/>
          <w:rFonts w:hint="eastAsia" w:ascii="方正小标宋简体" w:hAnsi="方正小标宋简体" w:eastAsia="方正小标宋简体" w:cs="方正小标宋简体"/>
          <w:b w:val="0"/>
          <w:bCs/>
          <w:sz w:val="44"/>
          <w:szCs w:val="44"/>
        </w:rPr>
        <w:t>江门市妇幼保健院月子餐供餐服务项目采购需求</w:t>
      </w:r>
      <w:bookmarkEnd w:id="0"/>
    </w:p>
    <w:p w14:paraId="0DAB05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报名供应商需符合项目公告中的</w:t>
      </w:r>
      <w:r>
        <w:rPr>
          <w:rStyle w:val="8"/>
          <w:rFonts w:hint="eastAsia" w:ascii="仿宋_GB2312" w:hAnsi="仿宋_GB2312" w:eastAsia="仿宋_GB2312" w:cs="仿宋_GB2312"/>
          <w:b w:val="0"/>
          <w:bCs w:val="0"/>
          <w:i w:val="0"/>
          <w:iCs w:val="0"/>
          <w:caps w:val="0"/>
          <w:color w:val="auto"/>
          <w:spacing w:val="0"/>
          <w:sz w:val="32"/>
          <w:szCs w:val="32"/>
          <w:shd w:val="clear" w:fill="FFFFFF"/>
        </w:rPr>
        <w:t>资格条件要求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具有遵循《中国居民膳食指南》、《中国妇幼膳食指南》及临床营养学原则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拥有</w:t>
      </w:r>
      <w:r>
        <w:rPr>
          <w:rFonts w:hint="eastAsia" w:ascii="仿宋_GB2312" w:hAnsi="仿宋_GB2312" w:eastAsia="仿宋_GB2312" w:cs="仿宋_GB2312"/>
          <w:color w:val="auto"/>
          <w:sz w:val="32"/>
          <w:szCs w:val="32"/>
        </w:rPr>
        <w:t>《购入食品检验标准》、《卫生、安全、品质管理细则》、《食堂经营管理流程》、《服务管理细则》、《食堂突发事故应急预案》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营业执照》、《食品许可证》、</w:t>
      </w:r>
      <w:r>
        <w:rPr>
          <w:rFonts w:hint="eastAsia" w:ascii="仿宋_GB2312" w:hAnsi="仿宋_GB2312" w:eastAsia="仿宋_GB2312" w:cs="仿宋_GB2312"/>
          <w:b w:val="0"/>
          <w:i w:val="0"/>
          <w:iCs w:val="0"/>
          <w:color w:val="000000"/>
          <w:kern w:val="0"/>
          <w:sz w:val="32"/>
          <w:szCs w:val="32"/>
          <w:u w:val="none"/>
          <w:lang w:val="en-US" w:eastAsia="zh-CN" w:bidi="ar"/>
        </w:rPr>
        <w:t>《食品安全国家标准 消毒餐（饮）具 》、《生活饮用水卫生标准》</w:t>
      </w:r>
      <w:r>
        <w:rPr>
          <w:rFonts w:hint="eastAsia" w:ascii="仿宋_GB2312" w:hAnsi="仿宋_GB2312" w:eastAsia="仿宋_GB2312" w:cs="仿宋_GB2312"/>
          <w:color w:val="auto"/>
          <w:sz w:val="32"/>
          <w:szCs w:val="32"/>
        </w:rPr>
        <w:t>。</w:t>
      </w:r>
    </w:p>
    <w:p w14:paraId="59B49685">
      <w:pPr>
        <w:spacing w:after="240"/>
        <w:jc w:val="center"/>
        <w:rPr>
          <w:rStyle w:val="8"/>
          <w:rFonts w:cs="宋体"/>
          <w:sz w:val="27"/>
          <w:szCs w:val="27"/>
        </w:rPr>
      </w:pPr>
    </w:p>
    <w:p w14:paraId="1E3B4E5B">
      <w:pPr>
        <w:keepNext w:val="0"/>
        <w:keepLines w:val="0"/>
        <w:pageBreakBefore w:val="0"/>
        <w:widowControl w:val="0"/>
        <w:kinsoku/>
        <w:wordWrap/>
        <w:overflowPunct/>
        <w:topLinePunct w:val="0"/>
        <w:autoSpaceDE/>
        <w:autoSpaceDN/>
        <w:bidi w:val="0"/>
        <w:adjustRightInd/>
        <w:snapToGrid/>
        <w:ind w:firstLine="640" w:firstLineChars="200"/>
        <w:jc w:val="left"/>
        <w:textAlignment w:val="auto"/>
      </w:pPr>
      <w:r>
        <w:rPr>
          <w:rStyle w:val="8"/>
          <w:rFonts w:hint="eastAsia" w:ascii="黑体" w:hAnsi="黑体" w:eastAsia="黑体" w:cs="黑体"/>
          <w:b w:val="0"/>
          <w:bCs/>
          <w:sz w:val="32"/>
          <w:szCs w:val="32"/>
          <w:lang w:val="en-US" w:eastAsia="zh-CN"/>
        </w:rPr>
        <w:t>一、</w:t>
      </w:r>
      <w:r>
        <w:rPr>
          <w:rStyle w:val="8"/>
          <w:rFonts w:hint="eastAsia" w:ascii="黑体" w:hAnsi="黑体" w:eastAsia="黑体" w:cs="黑体"/>
          <w:b w:val="0"/>
          <w:bCs/>
          <w:sz w:val="32"/>
          <w:szCs w:val="32"/>
        </w:rPr>
        <w:t>项目清单</w:t>
      </w:r>
    </w:p>
    <w:p w14:paraId="6F86BC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楷体_GB2312" w:hAnsi="楷体_GB2312" w:eastAsia="楷体_GB2312" w:cs="楷体_GB2312"/>
          <w:b w:val="0"/>
          <w:i w:val="0"/>
          <w:iCs w:val="0"/>
          <w:color w:val="000000"/>
          <w:kern w:val="0"/>
          <w:sz w:val="32"/>
          <w:szCs w:val="32"/>
          <w:u w:val="none"/>
          <w:lang w:val="en-US" w:eastAsia="zh-CN" w:bidi="ar"/>
        </w:rPr>
        <w:t>（一）、本次招标服务的群体需求餐品见下表：</w:t>
      </w:r>
      <w:r>
        <w:rPr>
          <w:rFonts w:hint="eastAsia" w:ascii="仿宋_GB2312" w:hAnsi="仿宋_GB2312" w:eastAsia="仿宋_GB2312" w:cs="仿宋_GB2312"/>
          <w:b w:val="0"/>
          <w:i w:val="0"/>
          <w:iCs w:val="0"/>
          <w:color w:val="000000"/>
          <w:kern w:val="0"/>
          <w:sz w:val="32"/>
          <w:szCs w:val="32"/>
          <w:u w:val="none"/>
          <w:lang w:val="en-US" w:eastAsia="zh-CN" w:bidi="ar"/>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6682"/>
      </w:tblGrid>
      <w:tr w14:paraId="1B71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045" w:type="dxa"/>
            <w:shd w:val="clear" w:color="auto" w:fill="FFFFFF"/>
            <w:noWrap w:val="0"/>
            <w:vAlign w:val="center"/>
          </w:tcPr>
          <w:p w14:paraId="42DE9A2A">
            <w:pPr>
              <w:widowControl w:val="0"/>
              <w:numPr>
                <w:ilvl w:val="0"/>
                <w:numId w:val="0"/>
              </w:numPr>
              <w:jc w:val="center"/>
              <w:rPr>
                <w:rFonts w:hint="eastAsia" w:eastAsia="宋体" w:cs="宋体"/>
                <w:b/>
                <w:i w:val="0"/>
                <w:color w:val="000000"/>
                <w:sz w:val="21"/>
                <w:szCs w:val="21"/>
                <w:vertAlign w:val="baseline"/>
                <w:lang w:val="en-US" w:eastAsia="zh-CN"/>
              </w:rPr>
            </w:pPr>
            <w:r>
              <w:rPr>
                <w:rFonts w:hint="eastAsia" w:cs="宋体"/>
                <w:b/>
                <w:i w:val="0"/>
                <w:color w:val="000000"/>
                <w:sz w:val="21"/>
                <w:szCs w:val="21"/>
                <w:vertAlign w:val="baseline"/>
                <w:lang w:val="en-US" w:eastAsia="zh-CN"/>
              </w:rPr>
              <w:t>类别</w:t>
            </w:r>
          </w:p>
        </w:tc>
        <w:tc>
          <w:tcPr>
            <w:tcW w:w="6682" w:type="dxa"/>
            <w:shd w:val="clear" w:color="auto" w:fill="FFFFFF"/>
            <w:noWrap w:val="0"/>
            <w:vAlign w:val="center"/>
          </w:tcPr>
          <w:p w14:paraId="6AF530CC">
            <w:pPr>
              <w:widowControl w:val="0"/>
              <w:numPr>
                <w:ilvl w:val="0"/>
                <w:numId w:val="0"/>
              </w:numPr>
              <w:jc w:val="center"/>
              <w:rPr>
                <w:rFonts w:hint="eastAsia" w:eastAsia="宋体" w:cs="宋体"/>
                <w:b/>
                <w:i w:val="0"/>
                <w:color w:val="000000"/>
                <w:sz w:val="21"/>
                <w:szCs w:val="21"/>
                <w:vertAlign w:val="baseline"/>
                <w:lang w:val="en-US" w:eastAsia="zh-CN"/>
              </w:rPr>
            </w:pPr>
            <w:r>
              <w:rPr>
                <w:rFonts w:hint="eastAsia" w:cs="宋体"/>
                <w:b/>
                <w:i w:val="0"/>
                <w:color w:val="000000"/>
                <w:sz w:val="21"/>
                <w:szCs w:val="21"/>
                <w:vertAlign w:val="baseline"/>
                <w:lang w:val="en-US" w:eastAsia="zh-CN"/>
              </w:rPr>
              <w:t>需求</w:t>
            </w:r>
          </w:p>
        </w:tc>
      </w:tr>
      <w:tr w14:paraId="67EB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45" w:type="dxa"/>
            <w:shd w:val="clear" w:color="auto" w:fill="E6E6E6"/>
            <w:noWrap w:val="0"/>
            <w:vAlign w:val="center"/>
          </w:tcPr>
          <w:p w14:paraId="4986DF27">
            <w:pPr>
              <w:widowControl w:val="0"/>
              <w:numPr>
                <w:ilvl w:val="0"/>
                <w:numId w:val="0"/>
              </w:numPr>
              <w:jc w:val="center"/>
              <w:rPr>
                <w:rFonts w:hint="default" w:ascii="宋体" w:hAnsi="宋体" w:eastAsia="宋体" w:cs="宋体"/>
                <w:b w:val="0"/>
                <w:i w:val="0"/>
                <w:color w:val="000000"/>
                <w:sz w:val="21"/>
                <w:szCs w:val="21"/>
                <w:vertAlign w:val="baseline"/>
                <w:lang w:val="en-US" w:eastAsia="zh-CN"/>
              </w:rPr>
            </w:pPr>
            <w:r>
              <w:rPr>
                <w:rFonts w:hint="eastAsia" w:ascii="宋体" w:hAnsi="宋体" w:eastAsia="宋体" w:cs="宋体"/>
                <w:b w:val="0"/>
                <w:i w:val="0"/>
                <w:color w:val="000000"/>
                <w:sz w:val="21"/>
                <w:szCs w:val="21"/>
                <w:vertAlign w:val="baseline"/>
                <w:lang w:val="en-US" w:eastAsia="zh-CN"/>
              </w:rPr>
              <w:t>月子餐</w:t>
            </w:r>
            <w:r>
              <w:rPr>
                <w:rFonts w:hint="eastAsia" w:cs="宋体"/>
                <w:b w:val="0"/>
                <w:i w:val="0"/>
                <w:color w:val="000000"/>
                <w:sz w:val="21"/>
                <w:szCs w:val="21"/>
                <w:vertAlign w:val="baseline"/>
                <w:lang w:val="en-US" w:eastAsia="zh-CN"/>
              </w:rPr>
              <w:t>1（一日三餐）</w:t>
            </w:r>
          </w:p>
        </w:tc>
        <w:tc>
          <w:tcPr>
            <w:tcW w:w="6682" w:type="dxa"/>
            <w:shd w:val="clear" w:color="auto" w:fill="FFFFFF"/>
            <w:noWrap w:val="0"/>
            <w:vAlign w:val="center"/>
          </w:tcPr>
          <w:p w14:paraId="5C1A0A29">
            <w:pPr>
              <w:widowControl w:val="0"/>
              <w:numPr>
                <w:ilvl w:val="0"/>
                <w:numId w:val="0"/>
              </w:numPr>
              <w:jc w:val="center"/>
              <w:rPr>
                <w:rFonts w:cs="宋体"/>
                <w:b w:val="0"/>
                <w:i w:val="0"/>
                <w:color w:val="000000"/>
                <w:sz w:val="21"/>
                <w:szCs w:val="21"/>
                <w:vertAlign w:val="baseline"/>
              </w:rPr>
            </w:pPr>
            <w:r>
              <w:rPr>
                <w:rFonts w:hint="eastAsia" w:ascii="宋体" w:hAnsi="宋体" w:eastAsia="宋体" w:cs="宋体"/>
                <w:b w:val="0"/>
                <w:i w:val="0"/>
                <w:color w:val="000000"/>
                <w:sz w:val="21"/>
                <w:szCs w:val="21"/>
                <w:vertAlign w:val="baseline"/>
                <w:lang w:val="en-US" w:eastAsia="zh-CN"/>
              </w:rPr>
              <w:t>补血调气恢复子宫、排恶露、化淤生新、温补滋养、疏通乳腺、补肾养腰固本养元</w:t>
            </w:r>
          </w:p>
        </w:tc>
      </w:tr>
      <w:tr w14:paraId="2ED2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045" w:type="dxa"/>
            <w:shd w:val="clear" w:color="auto" w:fill="E6E6E6"/>
            <w:noWrap w:val="0"/>
            <w:vAlign w:val="center"/>
          </w:tcPr>
          <w:p w14:paraId="6CC54493">
            <w:pPr>
              <w:widowControl w:val="0"/>
              <w:numPr>
                <w:ilvl w:val="0"/>
                <w:numId w:val="0"/>
              </w:numPr>
              <w:jc w:val="center"/>
              <w:rPr>
                <w:rFonts w:hint="default" w:ascii="宋体" w:hAnsi="宋体" w:eastAsia="宋体" w:cs="宋体"/>
                <w:b w:val="0"/>
                <w:i w:val="0"/>
                <w:color w:val="000000"/>
                <w:sz w:val="21"/>
                <w:szCs w:val="21"/>
                <w:vertAlign w:val="baseline"/>
                <w:lang w:val="en-US" w:eastAsia="zh-CN"/>
              </w:rPr>
            </w:pPr>
            <w:r>
              <w:rPr>
                <w:rFonts w:hint="eastAsia" w:cs="宋体"/>
                <w:b w:val="0"/>
                <w:i w:val="0"/>
                <w:color w:val="000000"/>
                <w:sz w:val="21"/>
                <w:szCs w:val="21"/>
                <w:vertAlign w:val="baseline"/>
                <w:lang w:val="en-US" w:eastAsia="zh-CN"/>
              </w:rPr>
              <w:t>月子餐2（一日六餐）</w:t>
            </w:r>
          </w:p>
        </w:tc>
        <w:tc>
          <w:tcPr>
            <w:tcW w:w="6682" w:type="dxa"/>
            <w:shd w:val="clear" w:color="auto" w:fill="FFFFFF"/>
            <w:noWrap w:val="0"/>
            <w:vAlign w:val="center"/>
          </w:tcPr>
          <w:p w14:paraId="3C080564">
            <w:pPr>
              <w:widowControl w:val="0"/>
              <w:numPr>
                <w:ilvl w:val="0"/>
                <w:numId w:val="0"/>
              </w:numPr>
              <w:jc w:val="center"/>
              <w:rPr>
                <w:rFonts w:hint="eastAsia" w:ascii="宋体" w:hAnsi="宋体" w:eastAsia="宋体" w:cs="宋体"/>
                <w:b w:val="0"/>
                <w:i w:val="0"/>
                <w:color w:val="000000"/>
                <w:sz w:val="21"/>
                <w:szCs w:val="21"/>
                <w:vertAlign w:val="baseline"/>
                <w:lang w:val="en-US" w:eastAsia="zh-CN"/>
              </w:rPr>
            </w:pPr>
            <w:r>
              <w:rPr>
                <w:rFonts w:hint="eastAsia" w:ascii="宋体" w:hAnsi="宋体" w:eastAsia="宋体" w:cs="宋体"/>
                <w:b w:val="0"/>
                <w:i w:val="0"/>
                <w:color w:val="000000"/>
                <w:sz w:val="21"/>
                <w:szCs w:val="21"/>
                <w:vertAlign w:val="baseline"/>
                <w:lang w:val="en-US" w:eastAsia="zh-CN"/>
              </w:rPr>
              <w:t>排恶露、化淤生新、补血调气恢复子宫、温补滋养、疏通乳腺、补肾养腰固本养元</w:t>
            </w:r>
          </w:p>
        </w:tc>
      </w:tr>
    </w:tbl>
    <w:p w14:paraId="5296FE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i w:val="0"/>
          <w:iCs w:val="0"/>
          <w:color w:val="000000"/>
          <w:kern w:val="0"/>
          <w:sz w:val="32"/>
          <w:szCs w:val="32"/>
          <w:u w:val="none"/>
          <w:lang w:val="en-US" w:eastAsia="zh-CN" w:bidi="ar"/>
        </w:rPr>
      </w:pPr>
      <w:r>
        <w:rPr>
          <w:rFonts w:hint="eastAsia" w:ascii="楷体_GB2312" w:hAnsi="楷体_GB2312" w:eastAsia="楷体_GB2312" w:cs="楷体_GB2312"/>
          <w:b w:val="0"/>
          <w:i w:val="0"/>
          <w:iCs w:val="0"/>
          <w:color w:val="000000"/>
          <w:kern w:val="0"/>
          <w:sz w:val="32"/>
          <w:szCs w:val="32"/>
          <w:u w:val="none"/>
          <w:lang w:val="en-US" w:eastAsia="zh-CN" w:bidi="ar"/>
        </w:rPr>
        <w:t>（二）、服务标准</w:t>
      </w:r>
    </w:p>
    <w:p w14:paraId="43D1E4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1.食品安全追溯管理制度</w:t>
      </w:r>
    </w:p>
    <w:p w14:paraId="331052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2.食堂经营管理流程</w:t>
      </w:r>
    </w:p>
    <w:p w14:paraId="7D2FE3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3.中国职业健康安全管理体系规范</w:t>
      </w:r>
    </w:p>
    <w:p w14:paraId="4D1A56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4.餐饮服务项目运营报价说明</w:t>
      </w:r>
    </w:p>
    <w:p w14:paraId="165822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5.保密协议</w:t>
      </w:r>
    </w:p>
    <w:p w14:paraId="38A3A0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i w:val="0"/>
          <w:iCs w:val="0"/>
          <w:color w:val="000000"/>
          <w:kern w:val="0"/>
          <w:sz w:val="32"/>
          <w:szCs w:val="32"/>
          <w:u w:val="none"/>
          <w:lang w:val="en-US" w:eastAsia="zh-CN" w:bidi="ar"/>
        </w:rPr>
      </w:pPr>
      <w:r>
        <w:rPr>
          <w:rFonts w:hint="eastAsia" w:ascii="楷体_GB2312" w:hAnsi="楷体_GB2312" w:eastAsia="楷体_GB2312" w:cs="楷体_GB2312"/>
          <w:b w:val="0"/>
          <w:i w:val="0"/>
          <w:iCs w:val="0"/>
          <w:color w:val="000000"/>
          <w:kern w:val="0"/>
          <w:sz w:val="32"/>
          <w:szCs w:val="32"/>
          <w:u w:val="none"/>
          <w:lang w:val="en-US" w:eastAsia="zh-CN" w:bidi="ar"/>
        </w:rPr>
        <w:t>(三)、检验标准：</w:t>
      </w:r>
    </w:p>
    <w:p w14:paraId="128C9D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餐样检验规则：每餐次的食品成品、单品留样作检测物，样品量不少于125g，保存时间不少于48小时，标注留样食品名称、留样时间（年、月、日、时）。</w:t>
      </w:r>
    </w:p>
    <w:p w14:paraId="2E53E7F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lang w:val="en-US" w:eastAsia="zh-CN"/>
        </w:rPr>
        <w:t>二、餐饮供餐</w:t>
      </w:r>
      <w:r>
        <w:rPr>
          <w:rStyle w:val="8"/>
          <w:rFonts w:hint="eastAsia" w:ascii="黑体" w:hAnsi="黑体" w:eastAsia="黑体" w:cs="黑体"/>
          <w:b w:val="0"/>
          <w:bCs/>
          <w:sz w:val="32"/>
          <w:szCs w:val="32"/>
        </w:rPr>
        <w:t>服务要求</w:t>
      </w:r>
    </w:p>
    <w:p w14:paraId="4BF61A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★一、保证餐饮供餐正常运行, 依法配备食品安全总监和食品安全员。</w:t>
      </w:r>
    </w:p>
    <w:p w14:paraId="102E7A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★二、执行"日管控、周排查、月调度"制度。</w:t>
      </w:r>
    </w:p>
    <w:p w14:paraId="0AE457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★三、投标者对食品安全承担管理责任，需具备"食品许可证"。</w:t>
      </w:r>
    </w:p>
    <w:p w14:paraId="08EBB8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★四、日常供餐应遵守的标准：</w:t>
      </w:r>
    </w:p>
    <w:p w14:paraId="11D65F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①食堂经营管理流程规则；</w:t>
      </w:r>
    </w:p>
    <w:p w14:paraId="5A74A7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②食堂突发事故应急预案；</w:t>
      </w:r>
    </w:p>
    <w:p w14:paraId="3DDD63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③卫生、安全、品质管理细则；</w:t>
      </w:r>
    </w:p>
    <w:p w14:paraId="6D427C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④餐品菜单规范执行制度；</w:t>
      </w:r>
    </w:p>
    <w:p w14:paraId="41077F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⑤保密协议合同。</w:t>
      </w:r>
    </w:p>
    <w:p w14:paraId="0D7300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★五、强化源头管理，建立统一的食品供货者准入。</w:t>
      </w:r>
    </w:p>
    <w:p w14:paraId="28E008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六、要求饭堂驻点服务。投标人承诺在蓬江区的范围内，全年每天24小时派驻人员；常驻送餐人员在医院范围内进行餐饮供餐服务，常驻人员不少于3人，配备紧急联络人呼叫手机。如果不经采购人同意不得更换驻场人员。提供驻点人员的姓名、通迅号码并提供他们有效的资质人员资格证书复印件。（须加盖聘用单位印章）</w:t>
      </w:r>
    </w:p>
    <w:p w14:paraId="200DBE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七、投标人的驻点人员按每天上午7：30至晚上20：00的时间内在采购人医院范围内打卡报到，在采购人医院范围内随时待命应急处理和客户回馈服务，响应时间小于10分钟,到场时间小于15分钟；并且每日7:30到岗后按照相关法律法规巡查各餐品正常情况，在正常配送餐品的情况作出检查记录签名拍照。</w:t>
      </w:r>
    </w:p>
    <w:p w14:paraId="57F6EF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★八、对留样餐品失效超过48小时后应由招标单位保管或由招标单位与投标方共同销毁</w:t>
      </w:r>
    </w:p>
    <w:p w14:paraId="453784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九、投标人必须遵守采购人的规章制度，投标人工作人员在配送期间必须穿着统一的工作服（口罩、工作帽、手套等个人防护用品），投标人工作人员必须礼貌待人，违反者按违约处罚。投标人在采购人的禁烟区域（包括电梯机房）禁止吸烟，违反者按违约处罚；投标人严禁骂人、严禁打架斗殴，违反者按违约处罚。</w:t>
      </w:r>
    </w:p>
    <w:p w14:paraId="4F7927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★十、如因订餐者并未提前告知过敏源等身体情况情况误食餐品，需投标人协助采购人配合调查，双方另行协商确定。</w:t>
      </w:r>
    </w:p>
    <w:p w14:paraId="4B2BC9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★十一、使用单位保留是否签署续签供餐合同的权力。</w:t>
      </w:r>
    </w:p>
    <w:p w14:paraId="31942C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注：1.有“▲”标记的为重要响应的技术指标或要求，投标人在投标中提供的产品的质量和性能若不能满足将会被严重扣分。2.有“★”标记的为必须响应的技术指标或要求，投标人若不能满足，其投标将被拒绝。</w:t>
      </w:r>
    </w:p>
    <w:p w14:paraId="0D1A97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p>
    <w:p w14:paraId="26E24E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iCs w:val="0"/>
          <w:color w:val="000000"/>
          <w:kern w:val="0"/>
          <w:sz w:val="32"/>
          <w:szCs w:val="32"/>
          <w:u w:val="none"/>
          <w:lang w:val="en-US" w:eastAsia="zh-CN" w:bidi="ar"/>
        </w:rPr>
      </w:pPr>
    </w:p>
    <w:sectPr>
      <w:headerReference r:id="rId3" w:type="default"/>
      <w:footerReference r:id="rId4" w:type="default"/>
      <w:pgSz w:w="11906" w:h="16839"/>
      <w:pgMar w:top="1440" w:right="1134" w:bottom="1440" w:left="113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4BF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D5512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D5512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E5A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9015D"/>
    <w:rsid w:val="17690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2025-11-26T02:53:00Z</dcterms:created>
  <dc:creator>伍卓坚</dc:creator>
  <cp:lastModifiedBy>伍卓坚</cp:lastModifiedBy>
  <dcterms:modified xsi:type="dcterms:W3CDTF">2025-11-26T03:06:07Z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C0A84AF4C43E42F2836C9A8091CC83B9_11</vt:lpwstr>
  </property>
  <property fmtid="{D5CDD505-2E9C-101B-9397-08002B2CF9AE}" pid="4" name="KSOTemplateDocerSaveRecord">
    <vt:lpwstr>eyJoZGlkIjoiMGFkYTIxNGRjNWRjZTg5NWIxMjI1N2QzNWQ4ZTgwYTQiLCJ1c2VySWQiOiIyMjY0NjUzODUifQ==</vt:lpwstr>
  </property>
</Properties>
</file>