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江门市妇幼保健院部分非医疗项目经营收益权资产评估服务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项目需求书</w:t>
      </w:r>
    </w:p>
    <w:p w14:paraId="61628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 w14:paraId="32B835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项目概况</w:t>
      </w:r>
    </w:p>
    <w:p w14:paraId="31F9D4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项目名称：江门市妇幼保健院非医疗项目经营收益权资产评估项目。</w:t>
      </w:r>
    </w:p>
    <w:p w14:paraId="3CDD101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委托单位：江门市妇幼保健院</w:t>
      </w:r>
    </w:p>
    <w:p w14:paraId="67C48E4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中介服务机构资格（资质）要求</w:t>
      </w:r>
    </w:p>
    <w:p w14:paraId="0AF3B9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1.具备有效的省级及以上财政部门备案的《资产评估资质》，且具备中国资产评估协会颁发的《单位会员证书》。</w:t>
      </w:r>
    </w:p>
    <w:p w14:paraId="67FDF24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2.具备同类型项目经验。</w:t>
      </w:r>
    </w:p>
    <w:p w14:paraId="5C172D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3.须符合《中华人民共和国政府采购法》第二十二条的全部条件。</w:t>
      </w:r>
    </w:p>
    <w:p w14:paraId="492A2A3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4.具有独立法人资格并依法取得营业执照。</w:t>
      </w:r>
    </w:p>
    <w:p w14:paraId="7EF716C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5.本项目不接受联合体投标，不允许转包或分包服务项目。</w:t>
      </w:r>
    </w:p>
    <w:p w14:paraId="264D8C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服务内容和服务要求</w:t>
      </w:r>
    </w:p>
    <w:p w14:paraId="2DE18661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（一）服务内容：</w:t>
      </w:r>
    </w:p>
    <w:p w14:paraId="6BC5A63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对江门市妇幼保健院非医疗项目10年经营收益权进行资产评估，具体评估范围包括陪护项目管理、院内停车场、超市和茶饮饼店等经营点、中庭花园和食堂经营权等出具经营收益权价值资产评估报告。</w:t>
      </w:r>
    </w:p>
    <w:p w14:paraId="2F9C083B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（二）服务要求：</w:t>
      </w:r>
    </w:p>
    <w:p w14:paraId="637D5AF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1.对经营收益权涉及的资产开展现场勘察工作，并客观分析、测算经营收益权的市场价值，并根据《资产评估法》等相关法律法规、《资产评估准则》等要求出具《资产评估报告》。</w:t>
      </w:r>
    </w:p>
    <w:p w14:paraId="5C874D8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2.服务机构需有服务团队承诺在江门市有服务团队或能在30分种内响应到场，能快速响应到达服务区域等，服务团队熟悉江门市的市场情况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0F0E2B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合同覆行地点和方式</w:t>
      </w:r>
    </w:p>
    <w:p w14:paraId="57D697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合同履行地点为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市。合同履行的方式按照国家标准、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行业标准履行。</w:t>
      </w:r>
    </w:p>
    <w:p w14:paraId="4ADD6D7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采购预算和公开选取方式</w:t>
      </w:r>
    </w:p>
    <w:p w14:paraId="246A9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采购预算：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按照资产评估行业收费标准的75%设定为资产评估服务费上限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B8D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资产评估收费标准计算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参照《广东省物价局关于资产评估收费有关问题的通知》（粤价[2010]42号）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FB1D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院内招采</w:t>
      </w:r>
    </w:p>
    <w:p w14:paraId="7B31F7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投标报价要求</w:t>
      </w:r>
    </w:p>
    <w:p w14:paraId="5CF49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投标报价（折扣率）要求： 投标报价应为人民币含税全包价，包含但不限于资产评估费、差旅费、税费等一切费用。本项目投标报价形式为折扣，投标人应在投标文件和报价一览表中提供一个统一的折扣率，范围在0%-75%之间。投标人报出折扣率，折扣率须精确到小数点后两位（如：0.01%）。投标人的折扣率必须在规定范围内，否则按无效投标处理。在结算时采购人支付的金额按照以下公式支付： 采购人支付的金额=资产评估收费标准×折扣率。 【资产评估收费标准计算依据：参照《广东省物价局关于资产评估收费有关问题的通知》（粤价[2010]42号）】</w:t>
      </w:r>
    </w:p>
    <w:p w14:paraId="668714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服务时间</w:t>
      </w:r>
    </w:p>
    <w:p w14:paraId="442A0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按照合同双方自行约定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196CA2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验收</w:t>
      </w:r>
    </w:p>
    <w:p w14:paraId="59641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按国家和地方相关法律法规、《资产评估准则》及采购需求进行验收。</w:t>
      </w:r>
    </w:p>
    <w:p w14:paraId="23D4E40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结算方式</w:t>
      </w:r>
    </w:p>
    <w:p w14:paraId="7A798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付款方式：银行转账</w:t>
      </w:r>
    </w:p>
    <w:p w14:paraId="28AD7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付款方式及期限：业主方取得《资产评估报告》后30个工作日内一次性支付资产评估服务费。</w:t>
      </w:r>
    </w:p>
    <w:p w14:paraId="45FAD7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解决争议方式</w:t>
      </w:r>
    </w:p>
    <w:p w14:paraId="5E2F9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（一）采购合同中如有未尽事宜，双方协商一致后可以签订补充合同，但补充合同不得与法律法规和相关政府采购政策相抵触；</w:t>
      </w:r>
    </w:p>
    <w:p w14:paraId="73B17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（二）对于合同履行中出现的纠纷，双方应协商解决。协商不成的，通过诉讼方式解决。</w:t>
      </w:r>
    </w:p>
    <w:p w14:paraId="1C5B9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F9BAE"/>
    <w:multiLevelType w:val="singleLevel"/>
    <w:tmpl w:val="E84F9B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6338C"/>
    <w:rsid w:val="1FF92002"/>
    <w:rsid w:val="2CC24862"/>
    <w:rsid w:val="2ECD1B16"/>
    <w:rsid w:val="398702D2"/>
    <w:rsid w:val="518E24AF"/>
    <w:rsid w:val="58F83C27"/>
    <w:rsid w:val="73AE47EA"/>
    <w:rsid w:val="766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 (13)"/>
    <w:basedOn w:val="1"/>
    <w:qFormat/>
    <w:uiPriority w:val="99"/>
    <w:pPr>
      <w:shd w:val="clear" w:color="auto" w:fill="FFFFFF"/>
      <w:spacing w:line="240" w:lineRule="atLeast"/>
    </w:pPr>
    <w:rPr>
      <w:rFonts w:ascii="MingLiU" w:eastAsia="MingLiU"/>
      <w:spacing w:val="40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2425</Words>
  <Characters>2491</Characters>
  <Lines>0</Lines>
  <Paragraphs>0</Paragraphs>
  <TotalTime>2</TotalTime>
  <ScaleCrop>false</ScaleCrop>
  <LinksUpToDate>false</LinksUpToDate>
  <CharactersWithSpaces>2498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2025-11-21T07:45:00Z</dcterms:created>
  <dc:creator>lenovo</dc:creator>
  <cp:lastModifiedBy>伍卓坚</cp:lastModifiedBy>
  <dcterms:modified xsi:type="dcterms:W3CDTF">2025-11-25T07:46:05Z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0FD21CC4AA8044E082AAEE3048572F3B_13</vt:lpwstr>
  </property>
</Properties>
</file>