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F1070">
      <w:pPr>
        <w:pStyle w:val="19"/>
        <w:widowControl/>
        <w:rPr>
          <w:color w:val="auto"/>
        </w:rPr>
      </w:pPr>
      <mc:AlternateContent>
        <mc:Choice Requires="wpsCustomData">
          <wpsCustomData:docfieldStart id="0" docfieldname="标题_1" hidden="0" print="1" readonly="0" index="3"/>
        </mc:Choice>
      </mc:AlternateContent>
      <w:r>
        <w:rPr>
          <w:color w:val="auto"/>
        </w:rPr>
        <w:t>江门市妇幼保健院2026年供电与负荷统计综合能源服务项目</w:t>
      </w:r>
      <w:r>
        <w:rPr>
          <w:rFonts w:hint="eastAsia"/>
          <w:color w:val="auto"/>
          <w:lang w:val="en-US" w:eastAsia="zh-CN"/>
        </w:rPr>
        <w:t>采购</w:t>
      </w:r>
      <w:r>
        <w:rPr>
          <w:color w:val="auto"/>
        </w:rPr>
        <w:t>需求</w:t>
      </w:r>
      <mc:AlternateContent>
        <mc:Choice Requires="wpsCustomData">
          <wpsCustomData:docfieldEnd id="0"/>
        </mc:Choice>
      </mc:AlternateContent>
    </w:p>
    <w:p w14:paraId="508CE68C">
      <w:pPr>
        <w:pStyle w:val="14"/>
        <w:bidi w:val="0"/>
        <w:spacing w:beforeAutospacing="0" w:afterAutospacing="0" w:line="300" w:lineRule="exact"/>
        <w:rPr>
          <w:color w:val="auto"/>
        </w:rPr>
      </w:pPr>
    </w:p>
    <w:p w14:paraId="564EDA1A">
      <w:pPr>
        <w:pStyle w:val="14"/>
        <w:widowControl/>
        <w:numPr>
          <w:ilvl w:val="0"/>
          <w:numId w:val="0"/>
        </w:numPr>
        <w:topLinePunct w:val="0"/>
        <w:ind w:left="0" w:leftChars="0" w:firstLine="616" w:firstLineChars="0"/>
        <w:rPr>
          <w:rFonts w:hint="eastAsia" w:ascii="黑体" w:hAnsi="黑体" w:eastAsia="黑体" w:cs="黑体"/>
          <w:b w:val="0"/>
          <w:color w:val="auto"/>
        </w:rPr>
      </w:pPr>
      <w:r>
        <w:rPr>
          <w:rFonts w:hint="eastAsia" w:ascii="黑体" w:hAnsi="黑体" w:eastAsia="黑体" w:cs="黑体"/>
          <w:b w:val="0"/>
          <w:color w:val="auto"/>
          <w:spacing w:val="-6"/>
          <w:sz w:val="32"/>
          <w:szCs w:val="32"/>
          <w:lang w:val="en-US" w:eastAsia="zh-CN"/>
        </w:rPr>
        <w:t>一、</w:t>
      </w:r>
      <w:r>
        <w:rPr>
          <w:rFonts w:hint="eastAsia" w:ascii="黑体" w:hAnsi="黑体" w:eastAsia="黑体" w:cs="黑体"/>
          <w:color w:val="auto"/>
        </w:rPr>
        <w:t>项目包括以下两项内容</w:t>
      </w:r>
    </w:p>
    <w:p w14:paraId="6F2345BB">
      <w:pPr>
        <w:pStyle w:val="14"/>
        <w:widowControl/>
        <w:rPr>
          <w:color w:val="auto"/>
        </w:rPr>
      </w:pPr>
      <w:r>
        <w:rPr>
          <w:rFonts w:hint="eastAsia" w:ascii="楷体_GB2312" w:hAnsi="楷体_GB2312" w:eastAsia="楷体_GB2312" w:cs="楷体_GB2312"/>
          <w:b w:val="0"/>
          <w:color w:val="auto"/>
          <w:spacing w:val="-6"/>
          <w:sz w:val="32"/>
          <w:szCs w:val="32"/>
          <w:lang w:val="en-US" w:eastAsia="zh-CN"/>
        </w:rPr>
        <w:t>（一）内容一：</w:t>
      </w:r>
      <w:r>
        <w:rPr>
          <w:color w:val="auto"/>
        </w:rPr>
        <w:t>本项目是以单价报价形式选择一家具有合法经营资格的电力运营公司，协助医院完成2026年全年电力市场化交易，办理优惠用电业务，实现医院电费成本节约。提供的电力交易服务应不改变采购方原有的用电习惯，供电模式和供电质量保障不变，保持采购方现有的电费缴费方式不变，即采购方按正常程序和要求向</w:t>
      </w:r>
      <w:r>
        <w:rPr>
          <w:color w:val="auto"/>
          <w:spacing wpsCustomData:val="-6" w:val="-2"/>
        </w:rPr>
        <w:t>供电局交费。电力偏差考核产生的惩罚价差费用由中标人全</w:t>
      </w:r>
      <w:r>
        <w:rPr>
          <w:color w:val="auto"/>
          <w:spacing wpsCustomData:val="-6" w:val="-6"/>
        </w:rPr>
        <w:t>部</w:t>
      </w:r>
      <w:r>
        <w:rPr>
          <w:color w:val="auto"/>
        </w:rPr>
        <w:t>承担。</w:t>
      </w:r>
    </w:p>
    <w:p w14:paraId="1FD06AD4">
      <w:pPr>
        <w:pStyle w:val="14"/>
        <w:widowControl/>
        <w:rPr>
          <w:color w:val="auto"/>
        </w:rPr>
      </w:pPr>
      <w:r>
        <w:rPr>
          <w:rFonts w:hint="eastAsia" w:ascii="楷体_GB2312" w:hAnsi="楷体_GB2312" w:eastAsia="楷体_GB2312" w:cs="楷体_GB2312"/>
          <w:b w:val="0"/>
          <w:color w:val="auto"/>
          <w:spacing w:val="-6"/>
          <w:sz w:val="32"/>
          <w:szCs w:val="32"/>
          <w:lang w:val="en-US" w:eastAsia="zh-CN"/>
        </w:rPr>
        <w:t>（二）内容二：</w:t>
      </w:r>
      <w:r>
        <w:rPr>
          <w:color w:val="auto"/>
        </w:rPr>
        <w:t>供应商以增值</w:t>
      </w:r>
      <w:r>
        <w:rPr>
          <w:rFonts w:hint="eastAsia"/>
          <w:color w:val="auto"/>
        </w:rPr>
        <w:t>附赠</w:t>
      </w:r>
      <w:r>
        <w:rPr>
          <w:color w:val="auto"/>
        </w:rPr>
        <w:t>服务形式</w:t>
      </w:r>
      <w:r>
        <w:rPr>
          <w:rFonts w:hint="eastAsia"/>
          <w:color w:val="auto"/>
          <w:lang w:eastAsia="zh-CN"/>
        </w:rPr>
        <w:t>（</w:t>
      </w:r>
      <w:r>
        <w:rPr>
          <w:rFonts w:hint="eastAsia"/>
          <w:color w:val="auto"/>
        </w:rPr>
        <w:t>该增值附赠服务相关费用均由中选供应商全额承担）</w:t>
      </w:r>
      <w:r>
        <w:rPr>
          <w:color w:val="auto"/>
        </w:rPr>
        <w:t>，为医院提供现院区电力负荷需求统计服务，需对现院区所有科室、医疗设备、空调系统、照明系统等用电负荷进行统计，终端设备全覆盖，对全院所有用电终端设备进行统计，包括：</w:t>
      </w:r>
    </w:p>
    <w:p w14:paraId="0D21B4B1">
      <w:pPr>
        <w:pStyle w:val="14"/>
        <w:widowControl/>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医疗设备：CT机、MRI、DR、呼吸机、监护仪、手术室设备（电刀、麻醉机）、实验室设备（离心机、培养箱）等；</w:t>
      </w:r>
    </w:p>
    <w:p w14:paraId="7DD18E1B">
      <w:pPr>
        <w:pStyle w:val="14"/>
        <w:widowControl/>
        <w:rPr>
          <w:rFonts w:hint="eastAsia" w:ascii="仿宋_GB2312" w:hAnsi="仿宋_GB2312" w:eastAsia="仿宋_GB2312" w:cs="仿宋_GB2312"/>
          <w:color w:val="auto"/>
        </w:rPr>
      </w:pPr>
      <w:r>
        <w:rPr>
          <w:rFonts w:hint="eastAsia" w:ascii="仿宋_GB2312" w:hAnsi="仿宋_GB2312" w:eastAsia="仿宋_GB2312" w:cs="仿宋_GB2312"/>
          <w:color w:val="auto"/>
          <w:spacing wpsCustomData:val="-6" w:val="-2"/>
        </w:rPr>
        <w:t>空调系统：中央空调主机、末端风机盘管、新风机组、分</w:t>
      </w:r>
      <w:r>
        <w:rPr>
          <w:rFonts w:hint="eastAsia" w:ascii="仿宋_GB2312" w:hAnsi="仿宋_GB2312" w:eastAsia="仿宋_GB2312" w:cs="仿宋_GB2312"/>
          <w:color w:val="auto"/>
          <w:spacing wpsCustomData:val="-6" w:val="-6"/>
        </w:rPr>
        <w:t>体</w:t>
      </w:r>
      <w:r>
        <w:rPr>
          <w:rFonts w:hint="eastAsia" w:ascii="仿宋_GB2312" w:hAnsi="仿宋_GB2312" w:eastAsia="仿宋_GB2312" w:cs="仿宋_GB2312"/>
          <w:color w:val="auto"/>
        </w:rPr>
        <w:t>空调；</w:t>
      </w:r>
    </w:p>
    <w:p w14:paraId="2220C233">
      <w:pPr>
        <w:pStyle w:val="14"/>
        <w:widowControl/>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特殊区域：ICU、手术室、检验科、药房、数据中心机房（含服务器、UPS、精密空调）。</w:t>
      </w:r>
    </w:p>
    <w:p w14:paraId="701E6F49">
      <w:pPr>
        <w:pStyle w:val="14"/>
        <w:widowControl/>
        <w:rPr>
          <w:color w:val="auto"/>
        </w:rPr>
      </w:pPr>
      <w:r>
        <w:rPr>
          <w:color w:val="auto"/>
        </w:rPr>
        <w:t>基于现院区负荷数据，结合院区规划（科室布局、新增设备清单），建立负荷预测模型。需分析院区供电容量需求（含变压器、配电柜等配置建议），并提交负荷敏感性分析报告（如极端天气、突发用电需求场景）。</w:t>
      </w:r>
    </w:p>
    <w:p w14:paraId="5160015F">
      <w:pPr>
        <w:pStyle w:val="14"/>
        <w:widowControl/>
        <w:numPr>
          <w:ilvl w:val="0"/>
          <w:numId w:val="0"/>
        </w:numPr>
        <w:topLinePunct w:val="0"/>
        <w:ind w:left="0" w:leftChars="0" w:firstLine="616" w:firstLineChars="0"/>
        <w:rPr>
          <w:rFonts w:hint="eastAsia" w:ascii="黑体" w:hAnsi="黑体" w:eastAsia="黑体" w:cs="黑体"/>
          <w:b w:val="0"/>
          <w:color w:val="auto"/>
          <w:spacing w:val="-6"/>
          <w:sz w:val="32"/>
          <w:szCs w:val="32"/>
          <w:lang w:val="en-US" w:eastAsia="zh-CN"/>
        </w:rPr>
      </w:pPr>
      <w:r>
        <w:rPr>
          <w:rFonts w:hint="eastAsia" w:ascii="黑体" w:hAnsi="黑体" w:eastAsia="黑体" w:cs="黑体"/>
          <w:b w:val="0"/>
          <w:color w:val="auto"/>
          <w:spacing w:val="-6"/>
          <w:sz w:val="32"/>
          <w:szCs w:val="32"/>
          <w:lang w:val="en-US" w:eastAsia="zh-CN"/>
        </w:rPr>
        <w:t>二、采购内容</w:t>
      </w:r>
    </w:p>
    <w:p w14:paraId="08E6BF5B">
      <w:pPr>
        <w:pStyle w:val="14"/>
        <w:widowControl/>
        <w:numPr>
          <w:ilvl w:val="0"/>
          <w:numId w:val="0"/>
        </w:numPr>
        <w:topLinePunct w:val="0"/>
        <w:ind w:left="0" w:leftChars="0" w:firstLine="616" w:firstLineChars="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spacing w:val="-6"/>
          <w:sz w:val="32"/>
          <w:szCs w:val="32"/>
        </w:rPr>
        <w:t>（一）</w:t>
      </w:r>
      <w:r>
        <w:rPr>
          <w:rFonts w:hint="eastAsia" w:ascii="楷体_GB2312" w:hAnsi="楷体_GB2312" w:eastAsia="楷体_GB2312" w:cs="楷体_GB2312"/>
          <w:color w:val="auto"/>
        </w:rPr>
        <w:t>购电方案：</w:t>
      </w:r>
    </w:p>
    <w:p w14:paraId="7CD896F8">
      <w:pPr>
        <w:pStyle w:val="14"/>
        <w:widowControl/>
        <w:numPr>
          <w:ilvl w:val="0"/>
          <w:numId w:val="1"/>
        </w:numPr>
        <w:topLinePunct w:val="0"/>
        <w:ind w:left="0" w:leftChars="0" w:firstLine="616" w:firstLineChars="0"/>
        <w:rPr>
          <w:rFonts w:hint="eastAsia" w:ascii="仿宋_GB2312" w:hAnsi="仿宋_GB2312" w:eastAsia="仿宋_GB2312" w:cs="仿宋_GB2312"/>
          <w:b w:val="0"/>
          <w:color w:val="auto"/>
        </w:rPr>
      </w:pPr>
      <w:r>
        <w:rPr>
          <w:color w:val="auto"/>
        </w:rPr>
        <w:t>投标人对电能量电价价格进行单价报价。</w:t>
      </w:r>
    </w:p>
    <w:p w14:paraId="0E9AED5E">
      <w:pPr>
        <w:pStyle w:val="14"/>
        <w:widowControl/>
        <w:numPr>
          <w:ilvl w:val="0"/>
          <w:numId w:val="1"/>
        </w:numPr>
        <w:topLinePunct w:val="0"/>
        <w:ind w:left="0" w:leftChars="0" w:firstLine="616" w:firstLineChars="0"/>
        <w:rPr>
          <w:rFonts w:hint="eastAsia" w:ascii="仿宋_GB2312" w:hAnsi="仿宋_GB2312" w:eastAsia="仿宋_GB2312" w:cs="仿宋_GB2312"/>
          <w:b w:val="0"/>
          <w:color w:val="auto"/>
        </w:rPr>
      </w:pPr>
      <w:r>
        <w:rPr>
          <w:color w:val="auto"/>
        </w:rPr>
        <w:t>报价表中报价在合同执行过程中不予调整。</w:t>
      </w:r>
    </w:p>
    <w:p w14:paraId="069325A0">
      <w:pPr>
        <w:pStyle w:val="14"/>
        <w:widowControl/>
        <w:numPr>
          <w:ilvl w:val="0"/>
          <w:numId w:val="1"/>
        </w:numPr>
        <w:topLinePunct w:val="0"/>
        <w:ind w:left="0" w:leftChars="0" w:firstLine="616" w:firstLineChars="0"/>
        <w:rPr>
          <w:rFonts w:hint="eastAsia" w:ascii="仿宋_GB2312" w:hAnsi="仿宋_GB2312" w:eastAsia="仿宋_GB2312" w:cs="仿宋_GB2312"/>
          <w:b w:val="0"/>
          <w:color w:val="auto"/>
        </w:rPr>
      </w:pPr>
      <w:r>
        <w:rPr>
          <w:color w:val="auto"/>
        </w:rPr>
        <w:t>报价预算：0.372元</w:t>
      </w:r>
      <w:r>
        <w:rPr>
          <w:rFonts w:hint="eastAsia"/>
          <w:color w:val="auto"/>
          <w:lang w:eastAsia="zh-CN"/>
        </w:rPr>
        <w:t>/</w:t>
      </w:r>
      <w:r>
        <w:rPr>
          <w:color w:val="auto"/>
        </w:rPr>
        <w:t>kwh≤代理购电价格≤0.3849元</w:t>
      </w:r>
      <w:r>
        <w:rPr>
          <w:rFonts w:hint="eastAsia"/>
          <w:color w:val="auto"/>
          <w:lang w:eastAsia="zh-CN"/>
        </w:rPr>
        <w:t>/</w:t>
      </w:r>
      <w:r>
        <w:rPr>
          <w:color w:val="auto"/>
        </w:rPr>
        <w:t>kwh，（超出该预算作报价无效）</w:t>
      </w:r>
    </w:p>
    <w:p w14:paraId="37BA0C5E">
      <w:pPr>
        <w:pStyle w:val="14"/>
        <w:widowControl/>
        <w:numPr>
          <w:ilvl w:val="0"/>
          <w:numId w:val="0"/>
        </w:numPr>
        <w:topLinePunct w:val="0"/>
        <w:ind w:left="0" w:leftChars="0" w:firstLine="616" w:firstLineChars="0"/>
        <w:rPr>
          <w:rFonts w:hint="eastAsia" w:ascii="仿宋_GB2312" w:hAnsi="仿宋_GB2312" w:eastAsia="仿宋_GB2312" w:cs="仿宋_GB2312"/>
          <w:b w:val="0"/>
          <w:i w:val="0"/>
          <w:color w:val="auto"/>
        </w:rPr>
      </w:pPr>
      <w:r>
        <w:rPr>
          <w:rFonts w:hint="eastAsia" w:ascii="楷体_GB2312" w:hAnsi="楷体_GB2312" w:eastAsia="楷体_GB2312" w:cs="楷体_GB2312"/>
          <w:b w:val="0"/>
          <w:i w:val="0"/>
          <w:color w:val="auto"/>
          <w:spacing w:val="-6"/>
          <w:sz w:val="32"/>
          <w:szCs w:val="32"/>
        </w:rPr>
        <w:t>（二）</w:t>
      </w:r>
      <w:r>
        <w:rPr>
          <w:rFonts w:hint="eastAsia" w:ascii="楷体_GB2312" w:hAnsi="楷体_GB2312" w:eastAsia="楷体_GB2312" w:cs="楷体_GB2312"/>
          <w:color w:val="auto"/>
        </w:rPr>
        <w:t>附带附赠</w:t>
      </w:r>
      <w:r>
        <w:rPr>
          <w:rFonts w:hint="eastAsia" w:ascii="楷体_GB2312" w:hAnsi="楷体_GB2312" w:eastAsia="楷体_GB2312" w:cs="楷体_GB2312"/>
          <w:i w:val="0"/>
          <w:color w:val="auto"/>
        </w:rPr>
        <w:t>服务：</w:t>
      </w:r>
    </w:p>
    <w:p w14:paraId="6A66AE75">
      <w:pPr>
        <w:pStyle w:val="14"/>
        <w:widowControl/>
        <w:rPr>
          <w:color w:val="auto"/>
        </w:rPr>
      </w:pPr>
      <w:r>
        <w:rPr>
          <w:color w:val="auto"/>
        </w:rPr>
        <w:t>为医院新大楼每一层加装实时互联网电力监控设备（不少于18个监测点位），并对现院区所有科室、医疗设备、空调系统、照明系统等用电负荷进行统计，并对全院所有用电终端设备进行统计，为医院提供电力监控云平台，以实现医院5分钟级的电力负荷实时监控，进一步理清院区能耗状况，为医院以后考量能源托管服务作技术及能耗数据支持。</w:t>
      </w:r>
    </w:p>
    <w:p w14:paraId="462F2ACC">
      <w:pPr>
        <w:pStyle w:val="14"/>
        <w:widowControl/>
        <w:numPr>
          <w:ilvl w:val="0"/>
          <w:numId w:val="0"/>
        </w:numPr>
        <w:topLinePunct w:val="0"/>
        <w:ind w:left="0" w:leftChars="0" w:firstLine="616" w:firstLineChars="0"/>
        <w:rPr>
          <w:rFonts w:hint="eastAsia" w:ascii="仿宋_GB2312" w:hAnsi="仿宋_GB2312" w:eastAsia="仿宋_GB2312" w:cs="仿宋_GB2312"/>
          <w:b w:val="0"/>
          <w:color w:val="auto"/>
        </w:rPr>
      </w:pPr>
      <w:r>
        <w:rPr>
          <w:rFonts w:hint="eastAsia" w:ascii="楷体_GB2312" w:hAnsi="楷体_GB2312" w:eastAsia="楷体_GB2312" w:cs="楷体_GB2312"/>
          <w:b w:val="0"/>
          <w:color w:val="auto"/>
          <w:spacing w:val="-6"/>
          <w:sz w:val="32"/>
          <w:szCs w:val="32"/>
        </w:rPr>
        <w:t>（三）</w:t>
      </w:r>
      <w:r>
        <w:rPr>
          <w:rFonts w:hint="eastAsia" w:ascii="楷体_GB2312" w:hAnsi="楷体_GB2312" w:eastAsia="楷体_GB2312" w:cs="楷体_GB2312"/>
          <w:color w:val="auto"/>
        </w:rPr>
        <w:t>合同履行期限：</w:t>
      </w:r>
      <w:r>
        <w:rPr>
          <w:color w:val="auto"/>
        </w:rPr>
        <w:t>12个月（即2026年1月1日至2026年12月31日）</w:t>
      </w:r>
    </w:p>
    <w:p w14:paraId="1C40F2AB">
      <w:pPr>
        <w:pStyle w:val="14"/>
        <w:widowControl/>
        <w:numPr>
          <w:ilvl w:val="0"/>
          <w:numId w:val="0"/>
        </w:numPr>
        <w:topLinePunct w:val="0"/>
        <w:ind w:left="0" w:leftChars="0" w:firstLine="616" w:firstLineChars="0"/>
        <w:rPr>
          <w:rFonts w:hint="eastAsia" w:ascii="楷体_GB2312" w:hAnsi="楷体_GB2312" w:eastAsia="楷体_GB2312" w:cs="楷体_GB2312"/>
          <w:b w:val="0"/>
          <w:color w:val="auto"/>
          <w:spacing w:val="-6"/>
          <w:sz w:val="32"/>
          <w:szCs w:val="32"/>
        </w:rPr>
      </w:pPr>
      <w:r>
        <w:rPr>
          <w:rFonts w:hint="eastAsia" w:ascii="楷体_GB2312" w:hAnsi="楷体_GB2312" w:eastAsia="楷体_GB2312" w:cs="楷体_GB2312"/>
          <w:b w:val="0"/>
          <w:color w:val="auto"/>
          <w:spacing w:val="-6"/>
          <w:sz w:val="32"/>
          <w:szCs w:val="32"/>
        </w:rPr>
        <w:t>（四）</w:t>
      </w:r>
      <w:r>
        <w:rPr>
          <w:rFonts w:hint="eastAsia" w:ascii="楷体_GB2312" w:hAnsi="楷体_GB2312" w:eastAsia="楷体_GB2312" w:cs="楷体_GB2312"/>
          <w:b w:val="0"/>
          <w:color w:val="auto"/>
          <w:spacing w:val="-6"/>
          <w:sz w:val="32"/>
          <w:szCs w:val="32"/>
          <w:lang w:eastAsia="zh-CN"/>
        </w:rPr>
        <w:t>其他</w:t>
      </w:r>
      <w:r>
        <w:rPr>
          <w:rFonts w:hint="eastAsia" w:ascii="楷体_GB2312" w:hAnsi="楷体_GB2312" w:eastAsia="楷体_GB2312" w:cs="楷体_GB2312"/>
          <w:b w:val="0"/>
          <w:color w:val="auto"/>
          <w:spacing w:val="-6"/>
          <w:sz w:val="32"/>
          <w:szCs w:val="32"/>
        </w:rPr>
        <w:t>要求：</w:t>
      </w:r>
    </w:p>
    <w:p w14:paraId="43073E0F">
      <w:pPr>
        <w:pStyle w:val="14"/>
        <w:widowControl/>
        <w:numPr>
          <w:ilvl w:val="0"/>
          <w:numId w:val="2"/>
        </w:numPr>
        <w:topLinePunct w:val="0"/>
        <w:ind w:left="14" w:leftChars="0" w:firstLine="616" w:firstLineChars="0"/>
        <w:rPr>
          <w:rFonts w:hint="eastAsia" w:ascii="仿宋_GB2312" w:hAnsi="仿宋_GB2312" w:eastAsia="仿宋_GB2312" w:cs="仿宋_GB2312"/>
          <w:b w:val="0"/>
          <w:color w:val="auto"/>
        </w:rPr>
      </w:pPr>
      <w:r>
        <w:rPr>
          <w:color w:val="auto"/>
        </w:rPr>
        <w:t>需提供报价表（加盖公章＋联系方式）</w:t>
      </w:r>
    </w:p>
    <w:p w14:paraId="37BF4356">
      <w:pPr>
        <w:pStyle w:val="14"/>
        <w:widowControl/>
        <w:numPr>
          <w:ilvl w:val="0"/>
          <w:numId w:val="2"/>
        </w:numPr>
        <w:topLinePunct w:val="0"/>
        <w:ind w:left="14" w:leftChars="0" w:firstLine="616" w:firstLineChars="0"/>
        <w:rPr>
          <w:color w:val="auto"/>
        </w:rPr>
      </w:pPr>
      <w:r>
        <w:rPr>
          <w:color w:val="auto"/>
        </w:rPr>
        <w:t>（2）需提供法人身份证复印件（加盖公章）</w:t>
      </w:r>
    </w:p>
    <w:p w14:paraId="000F6675">
      <w:pPr>
        <w:pStyle w:val="14"/>
        <w:widowControl/>
        <w:numPr>
          <w:ilvl w:val="0"/>
          <w:numId w:val="2"/>
        </w:numPr>
        <w:topLinePunct w:val="0"/>
        <w:ind w:left="14" w:leftChars="0" w:firstLine="616" w:firstLineChars="0"/>
        <w:rPr>
          <w:color w:val="auto"/>
        </w:rPr>
      </w:pPr>
      <w:r>
        <w:rPr>
          <w:color w:val="auto"/>
        </w:rPr>
        <w:t>（3）需提供法人代表委托书、委托人联系方式（加盖公章）</w:t>
      </w:r>
    </w:p>
    <w:p w14:paraId="21D5DDDB">
      <w:pPr>
        <w:pStyle w:val="14"/>
        <w:widowControl/>
        <w:numPr>
          <w:ilvl w:val="0"/>
          <w:numId w:val="2"/>
        </w:numPr>
        <w:topLinePunct w:val="0"/>
        <w:ind w:left="14" w:leftChars="0" w:firstLine="616" w:firstLineChars="0"/>
        <w:rPr>
          <w:rFonts w:hint="eastAsia" w:ascii="仿宋_GB2312" w:hAnsi="仿宋_GB2312" w:eastAsia="仿宋_GB2312" w:cs="仿宋_GB2312"/>
          <w:b w:val="0"/>
          <w:color w:val="auto"/>
        </w:rPr>
      </w:pPr>
      <w:r>
        <w:rPr>
          <w:color w:val="auto"/>
        </w:rPr>
        <w:t>需提供所有资格项的相关证明（加盖公章）</w:t>
      </w:r>
    </w:p>
    <w:p w14:paraId="1536CF24">
      <w:pPr>
        <w:pStyle w:val="14"/>
        <w:widowControl/>
        <w:numPr>
          <w:ilvl w:val="0"/>
          <w:numId w:val="2"/>
        </w:numPr>
        <w:topLinePunct w:val="0"/>
        <w:ind w:left="14" w:leftChars="0" w:firstLine="616" w:firstLineChars="0"/>
        <w:rPr>
          <w:rFonts w:hint="eastAsia" w:ascii="仿宋_GB2312" w:hAnsi="仿宋_GB2312" w:eastAsia="仿宋_GB2312" w:cs="仿宋_GB2312"/>
          <w:b w:val="0"/>
          <w:color w:val="auto"/>
        </w:rPr>
      </w:pPr>
      <w:r>
        <w:rPr>
          <w:color w:val="auto"/>
        </w:rPr>
        <w:t>业绩表（如有），及能反映售电业务的合同或中标通知书复印件等（加盖公章）。</w:t>
      </w:r>
    </w:p>
    <w:p w14:paraId="6DBD4AB9">
      <w:pPr>
        <w:pStyle w:val="14"/>
        <w:widowControl/>
        <w:numPr>
          <w:ilvl w:val="0"/>
          <w:numId w:val="2"/>
        </w:numPr>
        <w:topLinePunct w:val="0"/>
        <w:ind w:left="14" w:leftChars="0" w:firstLine="616" w:firstLineChars="0"/>
        <w:rPr>
          <w:rFonts w:hint="eastAsia" w:ascii="仿宋_GB2312" w:hAnsi="仿宋_GB2312" w:eastAsia="仿宋_GB2312" w:cs="仿宋_GB2312"/>
          <w:b w:val="0"/>
          <w:color w:val="auto"/>
        </w:rPr>
      </w:pPr>
      <w:r>
        <w:rPr>
          <w:color w:val="auto"/>
        </w:rPr>
        <w:t>其他综合评价需要的材料（加盖公章）</w:t>
      </w:r>
    </w:p>
    <w:p w14:paraId="7647DF71">
      <w:p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br w:type="page"/>
      </w:r>
    </w:p>
    <w:p w14:paraId="2F5092B4">
      <w:pPr>
        <w:pStyle w:val="2"/>
        <w:widowControl/>
        <w:numPr>
          <w:ilvl w:val="0"/>
          <w:numId w:val="0"/>
        </w:numPr>
        <w:topLinePunct w:val="0"/>
        <w:ind w:left="0" w:leftChars="0" w:firstLine="640" w:firstLineChars="0"/>
        <w:rPr>
          <w:color w:val="auto"/>
        </w:rPr>
      </w:pPr>
      <w:r>
        <w:rPr>
          <w:rFonts w:hint="eastAsia"/>
          <w:color w:val="auto"/>
          <w:lang w:val="en-US" w:eastAsia="zh-CN"/>
        </w:rPr>
        <w:t>三</w:t>
      </w:r>
      <w:bookmarkStart w:id="0" w:name="_GoBack"/>
      <w:bookmarkEnd w:id="0"/>
      <w:r>
        <w:rPr>
          <w:rFonts w:hint="eastAsia"/>
          <w:color w:val="auto"/>
        </w:rPr>
        <w:t>、</w:t>
      </w:r>
      <w:r>
        <w:rPr>
          <w:color w:val="auto"/>
        </w:rPr>
        <w:t>报价表</w:t>
      </w:r>
    </w:p>
    <w:p w14:paraId="69385B54">
      <w:pPr>
        <w:rPr>
          <w:rFonts w:hint="eastAsia"/>
          <w:color w:val="auto"/>
        </w:rPr>
      </w:pPr>
    </w:p>
    <w:tbl>
      <w:tblPr>
        <w:tblStyle w:val="25"/>
        <w:tblW w:w="5063"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57" w:type="dxa"/>
          <w:bottom w:w="0" w:type="dxa"/>
          <w:right w:w="57" w:type="dxa"/>
        </w:tblCellMar>
      </w:tblPr>
      <w:tblGrid>
        <w:gridCol w:w="1441"/>
        <w:gridCol w:w="436"/>
        <w:gridCol w:w="742"/>
        <w:gridCol w:w="1704"/>
        <w:gridCol w:w="4749"/>
      </w:tblGrid>
      <w:tr w14:paraId="337291B6">
        <w:tblPrEx>
          <w:tblCellMar>
            <w:top w:w="0" w:type="dxa"/>
            <w:left w:w="57" w:type="dxa"/>
            <w:bottom w:w="0" w:type="dxa"/>
            <w:right w:w="57" w:type="dxa"/>
          </w:tblCellMar>
        </w:tblPrEx>
        <w:trPr>
          <w:trHeight w:val="770" w:hRule="atLeast"/>
        </w:trPr>
        <w:tc>
          <w:tcPr>
            <w:tcW w:w="794" w:type="pct"/>
            <w:vMerge w:val="restart"/>
            <w:tcBorders>
              <w:bottom w:val="nil"/>
            </w:tcBorders>
            <w:vAlign w:val="top"/>
          </w:tcPr>
          <w:p w14:paraId="46CD96B6">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color w:val="auto"/>
                <w:spacing w:val="0"/>
                <w:sz w:val="21"/>
                <w:szCs w:val="21"/>
              </w:rPr>
            </w:pPr>
          </w:p>
          <w:p w14:paraId="30FC9C7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color w:val="auto"/>
                <w:spacing w:val="0"/>
                <w:sz w:val="21"/>
                <w:szCs w:val="21"/>
              </w:rPr>
            </w:pPr>
          </w:p>
          <w:p w14:paraId="1DDDAAB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color w:val="auto"/>
                <w:spacing w:val="0"/>
                <w:sz w:val="21"/>
                <w:szCs w:val="21"/>
              </w:rPr>
            </w:pPr>
          </w:p>
          <w:p w14:paraId="55B9E1F4">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color w:val="auto"/>
                <w:spacing w:val="0"/>
                <w:sz w:val="21"/>
                <w:szCs w:val="21"/>
              </w:rPr>
            </w:pPr>
          </w:p>
          <w:p w14:paraId="38CDFADE">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color w:val="auto"/>
                <w:spacing w:val="0"/>
                <w:sz w:val="21"/>
                <w:szCs w:val="21"/>
              </w:rPr>
            </w:pPr>
          </w:p>
          <w:p w14:paraId="219C8C5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color w:val="auto"/>
                <w:spacing w:val="0"/>
                <w:sz w:val="21"/>
                <w:szCs w:val="21"/>
              </w:rPr>
            </w:pPr>
          </w:p>
          <w:p w14:paraId="2F2E14E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color w:val="auto"/>
                <w:spacing w:val="0"/>
                <w:sz w:val="21"/>
                <w:szCs w:val="21"/>
              </w:rPr>
            </w:pPr>
          </w:p>
          <w:p w14:paraId="25673374">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一、固定价格模式（必填）</w:t>
            </w:r>
          </w:p>
        </w:tc>
        <w:tc>
          <w:tcPr>
            <w:tcW w:w="649" w:type="pct"/>
            <w:gridSpan w:val="2"/>
            <w:vAlign w:val="center"/>
          </w:tcPr>
          <w:p w14:paraId="5B123614">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按实际用 电量占比</w:t>
            </w:r>
          </w:p>
        </w:tc>
        <w:tc>
          <w:tcPr>
            <w:tcW w:w="3555" w:type="pct"/>
            <w:gridSpan w:val="2"/>
            <w:tcBorders>
              <w:bottom w:val="single" w:color="auto" w:sz="4" w:space="0"/>
            </w:tcBorders>
            <w:vAlign w:val="center"/>
          </w:tcPr>
          <w:p w14:paraId="2A525BD1">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平段价格</w:t>
            </w:r>
          </w:p>
        </w:tc>
      </w:tr>
      <w:tr w14:paraId="6D6F2FA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57" w:type="dxa"/>
            <w:bottom w:w="0" w:type="dxa"/>
            <w:right w:w="57" w:type="dxa"/>
          </w:tblCellMar>
        </w:tblPrEx>
        <w:trPr>
          <w:trHeight w:val="482" w:hRule="atLeast"/>
        </w:trPr>
        <w:tc>
          <w:tcPr>
            <w:tcW w:w="794" w:type="pct"/>
            <w:vMerge w:val="continue"/>
            <w:tcBorders>
              <w:top w:val="nil"/>
              <w:bottom w:val="nil"/>
            </w:tcBorders>
            <w:vAlign w:val="top"/>
          </w:tcPr>
          <w:p w14:paraId="7E927CCA">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tc>
        <w:tc>
          <w:tcPr>
            <w:tcW w:w="649" w:type="pct"/>
            <w:gridSpan w:val="2"/>
            <w:vAlign w:val="center"/>
          </w:tcPr>
          <w:p w14:paraId="79ECCAB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rPr>
              <w:t>90%</w:t>
            </w:r>
          </w:p>
        </w:tc>
        <w:tc>
          <w:tcPr>
            <w:tcW w:w="3555" w:type="pct"/>
            <w:gridSpan w:val="2"/>
            <w:tcBorders>
              <w:top w:val="single" w:color="auto" w:sz="4" w:space="0"/>
            </w:tcBorders>
            <w:vAlign w:val="center"/>
          </w:tcPr>
          <w:p w14:paraId="2CF559DF">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u w:val="single"/>
                <w:lang w:val="en-US" w:eastAsia="zh-CN"/>
              </w:rPr>
              <w:t xml:space="preserve">                    </w:t>
            </w:r>
            <w:r>
              <w:rPr>
                <w:rFonts w:hint="eastAsia" w:asciiTheme="minorEastAsia" w:hAnsiTheme="minorEastAsia" w:eastAsiaTheme="minorEastAsia" w:cstheme="minorEastAsia"/>
                <w:color w:val="auto"/>
                <w:spacing w:val="0"/>
                <w:sz w:val="28"/>
                <w:szCs w:val="28"/>
              </w:rPr>
              <w:t>元/兆瓦时【</w:t>
            </w:r>
            <w:r>
              <w:rPr>
                <w:rFonts w:hint="eastAsia" w:asciiTheme="minorEastAsia" w:hAnsiTheme="minorEastAsia" w:eastAsiaTheme="minorEastAsia" w:cstheme="minorEastAsia"/>
                <w:color w:val="auto"/>
                <w:spacing w:val="0"/>
                <w:sz w:val="28"/>
                <w:szCs w:val="28"/>
                <w:u w:val="single"/>
                <w:shd w:val="clear" w:fill="FFC000"/>
                <w:lang w:val="en-US" w:eastAsia="zh-CN"/>
              </w:rPr>
              <w:t>供应商</w:t>
            </w:r>
            <w:r>
              <w:rPr>
                <w:rFonts w:hint="eastAsia" w:asciiTheme="minorEastAsia" w:hAnsiTheme="minorEastAsia" w:eastAsiaTheme="minorEastAsia" w:cstheme="minorEastAsia"/>
                <w:color w:val="auto"/>
                <w:spacing w:val="0"/>
                <w:sz w:val="28"/>
                <w:szCs w:val="28"/>
                <w:u w:val="single"/>
                <w:shd w:val="clear" w:fill="FFC000"/>
              </w:rPr>
              <w:t>报价</w:t>
            </w:r>
            <w:r>
              <w:rPr>
                <w:rFonts w:hint="eastAsia" w:asciiTheme="minorEastAsia" w:hAnsiTheme="minorEastAsia" w:eastAsiaTheme="minorEastAsia" w:cstheme="minorEastAsia"/>
                <w:color w:val="auto"/>
                <w:spacing w:val="0"/>
                <w:sz w:val="28"/>
                <w:szCs w:val="28"/>
              </w:rPr>
              <w:t>】</w:t>
            </w:r>
          </w:p>
        </w:tc>
      </w:tr>
      <w:tr w14:paraId="71E749F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57" w:type="dxa"/>
            <w:bottom w:w="0" w:type="dxa"/>
            <w:right w:w="57" w:type="dxa"/>
          </w:tblCellMar>
        </w:tblPrEx>
        <w:trPr>
          <w:trHeight w:val="1235" w:hRule="atLeast"/>
        </w:trPr>
        <w:tc>
          <w:tcPr>
            <w:tcW w:w="794" w:type="pct"/>
            <w:vMerge w:val="continue"/>
            <w:tcBorders>
              <w:top w:val="nil"/>
              <w:bottom w:val="nil"/>
            </w:tcBorders>
            <w:vAlign w:val="top"/>
          </w:tcPr>
          <w:p w14:paraId="75D9316F">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tc>
        <w:tc>
          <w:tcPr>
            <w:tcW w:w="240" w:type="pct"/>
            <w:tcBorders>
              <w:bottom w:val="nil"/>
              <w:right w:val="nil"/>
            </w:tcBorders>
            <w:vAlign w:val="top"/>
          </w:tcPr>
          <w:p w14:paraId="663FAB3A">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6F228410">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20A90337">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2859B14A">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19B1ACD5">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tc>
        <w:tc>
          <w:tcPr>
            <w:tcW w:w="408" w:type="pct"/>
            <w:tcBorders>
              <w:left w:val="nil"/>
              <w:bottom w:val="nil"/>
            </w:tcBorders>
            <w:vAlign w:val="top"/>
          </w:tcPr>
          <w:p w14:paraId="03301530">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1BD060C5">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3A5B69A2">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0536AAB3">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限值</w:t>
            </w:r>
          </w:p>
        </w:tc>
        <w:tc>
          <w:tcPr>
            <w:tcW w:w="3555" w:type="pct"/>
            <w:gridSpan w:val="2"/>
            <w:vMerge w:val="restart"/>
            <w:tcBorders>
              <w:bottom w:val="nil"/>
            </w:tcBorders>
            <w:vAlign w:val="top"/>
          </w:tcPr>
          <w:p w14:paraId="41C2784F">
            <w:pPr>
              <w:pStyle w:val="24"/>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val="en-US" w:eastAsia="zh-CN"/>
              </w:rPr>
              <w:t>1</w:t>
            </w:r>
            <w:r>
              <w:rPr>
                <w:rFonts w:hint="eastAsia" w:asciiTheme="minorEastAsia" w:hAnsiTheme="minorEastAsia" w:eastAsiaTheme="minorEastAsia" w:cstheme="minorEastAsia"/>
                <w:color w:val="auto"/>
                <w:spacing w:val="0"/>
                <w:sz w:val="21"/>
                <w:szCs w:val="21"/>
              </w:rPr>
              <w:t>兆瓦时等于1000千瓦时，100元/兆瓦时等于0.1元/千瓦时。</w:t>
            </w:r>
          </w:p>
          <w:p w14:paraId="6B5710F8">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2. 固定价格模式“合同约定的电量比例”占比为90% 。</w:t>
            </w:r>
          </w:p>
          <w:p w14:paraId="4840B3C0">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3. 固定平段报价价格上限为</w:t>
            </w:r>
            <w:r>
              <w:rPr>
                <w:rFonts w:hint="eastAsia" w:asciiTheme="minorEastAsia" w:hAnsiTheme="minorEastAsia" w:eastAsiaTheme="minorEastAsia" w:cstheme="minorEastAsia"/>
                <w:color w:val="auto"/>
                <w:spacing w:val="0"/>
                <w:sz w:val="21"/>
                <w:szCs w:val="21"/>
                <w:lang w:val="en-US" w:eastAsia="zh-CN"/>
              </w:rPr>
              <w:t>384.9</w:t>
            </w:r>
            <w:r>
              <w:rPr>
                <w:rFonts w:hint="eastAsia" w:asciiTheme="minorEastAsia" w:hAnsiTheme="minorEastAsia" w:eastAsiaTheme="minorEastAsia" w:cstheme="minorEastAsia"/>
                <w:color w:val="auto"/>
                <w:spacing w:val="0"/>
                <w:sz w:val="21"/>
                <w:szCs w:val="21"/>
              </w:rPr>
              <w:t>元/兆瓦时，下限为372元/兆瓦时，如投标人报价不在报价上下限范围，将视作为无效投标。</w:t>
            </w:r>
          </w:p>
          <w:p w14:paraId="2532C1D5">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4. 市场联动价格“合同约定的电量比例”占比之和为10%，其中现货市场联动价格的“合同约定的电量比例”占比为8%。市场联动“合同约定的电量比例”与固定价格“合同约定的电量比例”两者之和需等于100%。</w:t>
            </w:r>
          </w:p>
          <w:p w14:paraId="5A57E00E">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5. 煤电联动浮动单价范围为0-50元/兆瓦时。</w:t>
            </w:r>
          </w:p>
        </w:tc>
      </w:tr>
      <w:tr w14:paraId="09827A7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57" w:type="dxa"/>
            <w:bottom w:w="0" w:type="dxa"/>
            <w:right w:w="57" w:type="dxa"/>
          </w:tblCellMar>
        </w:tblPrEx>
        <w:trPr>
          <w:trHeight w:val="1793" w:hRule="atLeast"/>
        </w:trPr>
        <w:tc>
          <w:tcPr>
            <w:tcW w:w="794" w:type="pct"/>
            <w:vMerge w:val="continue"/>
            <w:tcBorders>
              <w:top w:val="nil"/>
            </w:tcBorders>
            <w:vAlign w:val="top"/>
          </w:tcPr>
          <w:p w14:paraId="4BFA77C6">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tc>
        <w:tc>
          <w:tcPr>
            <w:tcW w:w="649" w:type="pct"/>
            <w:gridSpan w:val="2"/>
            <w:tcBorders>
              <w:top w:val="nil"/>
            </w:tcBorders>
            <w:vAlign w:val="top"/>
          </w:tcPr>
          <w:p w14:paraId="29729265">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变化附加条款</w:t>
            </w:r>
          </w:p>
        </w:tc>
        <w:tc>
          <w:tcPr>
            <w:tcW w:w="3555" w:type="pct"/>
            <w:gridSpan w:val="2"/>
            <w:vMerge w:val="continue"/>
            <w:tcBorders>
              <w:top w:val="nil"/>
            </w:tcBorders>
            <w:vAlign w:val="top"/>
          </w:tcPr>
          <w:p w14:paraId="64E7E05A">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tc>
      </w:tr>
      <w:tr w14:paraId="252D40A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57" w:type="dxa"/>
            <w:bottom w:w="0" w:type="dxa"/>
            <w:right w:w="57" w:type="dxa"/>
          </w:tblCellMar>
        </w:tblPrEx>
        <w:trPr>
          <w:trHeight w:val="936" w:hRule="atLeast"/>
        </w:trPr>
        <w:tc>
          <w:tcPr>
            <w:tcW w:w="794" w:type="pct"/>
            <w:vMerge w:val="restart"/>
            <w:tcBorders>
              <w:bottom w:val="nil"/>
            </w:tcBorders>
            <w:vAlign w:val="center"/>
          </w:tcPr>
          <w:p w14:paraId="396D87A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p w14:paraId="4D05D42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p w14:paraId="3E34C5C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p w14:paraId="4F30E18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p w14:paraId="6DD521D1">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二、市场联动模式（必填）</w:t>
            </w:r>
          </w:p>
        </w:tc>
        <w:tc>
          <w:tcPr>
            <w:tcW w:w="649" w:type="pct"/>
            <w:gridSpan w:val="2"/>
            <w:vAlign w:val="center"/>
          </w:tcPr>
          <w:p w14:paraId="05D8A99F">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联动价格</w:t>
            </w:r>
          </w:p>
        </w:tc>
        <w:tc>
          <w:tcPr>
            <w:tcW w:w="939" w:type="pct"/>
            <w:vAlign w:val="center"/>
          </w:tcPr>
          <w:p w14:paraId="58B4F68C">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按实际用电量占比</w:t>
            </w:r>
          </w:p>
        </w:tc>
        <w:tc>
          <w:tcPr>
            <w:tcW w:w="2616" w:type="pct"/>
            <w:vAlign w:val="center"/>
          </w:tcPr>
          <w:p w14:paraId="06BC69BF">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市场联动价格类型（平段）</w:t>
            </w:r>
          </w:p>
        </w:tc>
      </w:tr>
      <w:tr w14:paraId="206F6B3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57" w:type="dxa"/>
            <w:bottom w:w="0" w:type="dxa"/>
            <w:right w:w="57" w:type="dxa"/>
          </w:tblCellMar>
        </w:tblPrEx>
        <w:trPr>
          <w:trHeight w:val="936" w:hRule="atLeast"/>
        </w:trPr>
        <w:tc>
          <w:tcPr>
            <w:tcW w:w="794" w:type="pct"/>
            <w:vMerge w:val="continue"/>
            <w:tcBorders>
              <w:top w:val="nil"/>
              <w:bottom w:val="nil"/>
            </w:tcBorders>
            <w:vAlign w:val="center"/>
          </w:tcPr>
          <w:p w14:paraId="17933AE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tc>
        <w:tc>
          <w:tcPr>
            <w:tcW w:w="649" w:type="pct"/>
            <w:gridSpan w:val="2"/>
            <w:vAlign w:val="center"/>
          </w:tcPr>
          <w:p w14:paraId="455BF216">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联动月度 价格（必填）</w:t>
            </w:r>
          </w:p>
        </w:tc>
        <w:tc>
          <w:tcPr>
            <w:tcW w:w="939" w:type="pct"/>
            <w:vAlign w:val="center"/>
          </w:tcPr>
          <w:p w14:paraId="3A1A08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p w14:paraId="1FD2B91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2%</w:t>
            </w:r>
          </w:p>
        </w:tc>
        <w:tc>
          <w:tcPr>
            <w:tcW w:w="2616" w:type="pct"/>
            <w:vAlign w:val="center"/>
          </w:tcPr>
          <w:p w14:paraId="2B4F188E">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月度中长期交易综合价</w:t>
            </w:r>
          </w:p>
        </w:tc>
      </w:tr>
      <w:tr w14:paraId="550BC03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57" w:type="dxa"/>
            <w:bottom w:w="0" w:type="dxa"/>
            <w:right w:w="57" w:type="dxa"/>
          </w:tblCellMar>
        </w:tblPrEx>
        <w:trPr>
          <w:trHeight w:val="936" w:hRule="atLeast"/>
        </w:trPr>
        <w:tc>
          <w:tcPr>
            <w:tcW w:w="794" w:type="pct"/>
            <w:vMerge w:val="continue"/>
            <w:tcBorders>
              <w:top w:val="nil"/>
            </w:tcBorders>
            <w:vAlign w:val="center"/>
          </w:tcPr>
          <w:p w14:paraId="5F8368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tc>
        <w:tc>
          <w:tcPr>
            <w:tcW w:w="649" w:type="pct"/>
            <w:gridSpan w:val="2"/>
            <w:vAlign w:val="center"/>
          </w:tcPr>
          <w:p w14:paraId="71AD92C0">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联动现货 价格（必填）</w:t>
            </w:r>
          </w:p>
        </w:tc>
        <w:tc>
          <w:tcPr>
            <w:tcW w:w="939" w:type="pct"/>
            <w:vAlign w:val="center"/>
          </w:tcPr>
          <w:p w14:paraId="648139F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p>
          <w:p w14:paraId="3A68D29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8%</w:t>
            </w:r>
          </w:p>
        </w:tc>
        <w:tc>
          <w:tcPr>
            <w:tcW w:w="2616" w:type="pct"/>
            <w:vAlign w:val="center"/>
          </w:tcPr>
          <w:p w14:paraId="7F149C7D">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日前市场月度加权平均综合价</w:t>
            </w:r>
          </w:p>
        </w:tc>
      </w:tr>
      <w:tr w14:paraId="3B789F9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57" w:type="dxa"/>
            <w:bottom w:w="0" w:type="dxa"/>
            <w:right w:w="57" w:type="dxa"/>
          </w:tblCellMar>
        </w:tblPrEx>
        <w:trPr>
          <w:trHeight w:val="1633" w:hRule="atLeast"/>
        </w:trPr>
        <w:tc>
          <w:tcPr>
            <w:tcW w:w="794" w:type="pct"/>
            <w:vAlign w:val="top"/>
          </w:tcPr>
          <w:p w14:paraId="2FFA10A1">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173E2509">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p>
          <w:p w14:paraId="510AC695">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val="en-US" w:eastAsia="zh-CN"/>
              </w:rPr>
              <w:t>三</w:t>
            </w:r>
            <w:r>
              <w:rPr>
                <w:rFonts w:hint="eastAsia" w:asciiTheme="minorEastAsia" w:hAnsiTheme="minorEastAsia" w:eastAsiaTheme="minorEastAsia" w:cstheme="minorEastAsia"/>
                <w:color w:val="auto"/>
                <w:spacing w:val="0"/>
                <w:sz w:val="21"/>
                <w:szCs w:val="21"/>
              </w:rPr>
              <w:t>、市场风控条款</w:t>
            </w:r>
          </w:p>
        </w:tc>
        <w:tc>
          <w:tcPr>
            <w:tcW w:w="4205" w:type="pct"/>
            <w:gridSpan w:val="4"/>
            <w:vAlign w:val="top"/>
          </w:tcPr>
          <w:p w14:paraId="3E19929A">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b/>
                <w:bCs/>
                <w:color w:val="auto"/>
                <w:spacing w:val="0"/>
                <w:sz w:val="21"/>
                <w:szCs w:val="21"/>
              </w:rPr>
              <w:t>1.</w:t>
            </w:r>
            <w:r>
              <w:rPr>
                <w:rFonts w:hint="eastAsia" w:asciiTheme="minorEastAsia" w:hAnsiTheme="minorEastAsia" w:eastAsiaTheme="minorEastAsia" w:cstheme="minorEastAsia"/>
                <w:color w:val="auto"/>
                <w:spacing w:val="0"/>
                <w:sz w:val="21"/>
                <w:szCs w:val="21"/>
              </w:rPr>
              <w:t>本合同履行期间，当结算月份甲方平段电量结算价较结算月批发均价超过</w:t>
            </w:r>
            <w:r>
              <w:rPr>
                <w:rFonts w:hint="eastAsia" w:asciiTheme="minorEastAsia" w:hAnsiTheme="minorEastAsia" w:eastAsiaTheme="minorEastAsia" w:cstheme="minorEastAsia"/>
                <w:b/>
                <w:bCs/>
                <w:color w:val="auto"/>
                <w:spacing w:val="0"/>
                <w:sz w:val="21"/>
                <w:szCs w:val="21"/>
              </w:rPr>
              <w:t>15</w:t>
            </w:r>
            <w:r>
              <w:rPr>
                <w:rFonts w:hint="eastAsia" w:asciiTheme="minorEastAsia" w:hAnsiTheme="minorEastAsia" w:eastAsiaTheme="minorEastAsia" w:cstheme="minorEastAsia"/>
                <w:b/>
                <w:bCs/>
                <w:color w:val="auto"/>
                <w:spacing w:val="0"/>
                <w:sz w:val="21"/>
                <w:szCs w:val="21"/>
                <w:lang w:val="en-US" w:eastAsia="zh-CN"/>
              </w:rPr>
              <w:t>%</w:t>
            </w:r>
            <w:r>
              <w:rPr>
                <w:rFonts w:hint="eastAsia" w:asciiTheme="minorEastAsia" w:hAnsiTheme="minorEastAsia" w:eastAsiaTheme="minorEastAsia" w:cstheme="minorEastAsia"/>
                <w:color w:val="auto"/>
                <w:spacing w:val="0"/>
                <w:sz w:val="21"/>
                <w:szCs w:val="21"/>
              </w:rPr>
              <w:t>或低于</w:t>
            </w:r>
            <w:r>
              <w:rPr>
                <w:rFonts w:hint="eastAsia" w:asciiTheme="minorEastAsia" w:hAnsiTheme="minorEastAsia" w:eastAsiaTheme="minorEastAsia" w:cstheme="minorEastAsia"/>
                <w:b/>
                <w:bCs/>
                <w:color w:val="auto"/>
                <w:spacing w:val="0"/>
                <w:sz w:val="21"/>
                <w:szCs w:val="21"/>
              </w:rPr>
              <w:t>20%</w:t>
            </w:r>
            <w:r>
              <w:rPr>
                <w:rFonts w:hint="eastAsia" w:asciiTheme="minorEastAsia" w:hAnsiTheme="minorEastAsia" w:eastAsiaTheme="minorEastAsia" w:cstheme="minorEastAsia"/>
                <w:color w:val="auto"/>
                <w:spacing w:val="0"/>
                <w:sz w:val="21"/>
                <w:szCs w:val="21"/>
              </w:rPr>
              <w:t>时，双方执行超额电费共担条款，</w:t>
            </w:r>
          </w:p>
          <w:p w14:paraId="2A3125B6">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b/>
                <w:bCs/>
                <w:color w:val="auto"/>
                <w:spacing w:val="0"/>
                <w:sz w:val="21"/>
                <w:szCs w:val="21"/>
              </w:rPr>
              <w:t>2.</w:t>
            </w:r>
            <w:r>
              <w:rPr>
                <w:rFonts w:hint="eastAsia" w:asciiTheme="minorEastAsia" w:hAnsiTheme="minorEastAsia" w:eastAsiaTheme="minorEastAsia" w:cstheme="minorEastAsia"/>
                <w:color w:val="auto"/>
                <w:spacing w:val="0"/>
                <w:sz w:val="21"/>
                <w:szCs w:val="21"/>
              </w:rPr>
              <w:t>本合同履行期间，当结算月份甲方平段电量结算价较结算月批发均价超过</w:t>
            </w:r>
            <w:r>
              <w:rPr>
                <w:rFonts w:hint="eastAsia" w:asciiTheme="minorEastAsia" w:hAnsiTheme="minorEastAsia" w:eastAsiaTheme="minorEastAsia" w:cstheme="minorEastAsia"/>
                <w:b/>
                <w:bCs/>
                <w:color w:val="auto"/>
                <w:spacing w:val="0"/>
                <w:sz w:val="21"/>
                <w:szCs w:val="21"/>
              </w:rPr>
              <w:t>15%</w:t>
            </w:r>
            <w:r>
              <w:rPr>
                <w:rFonts w:hint="eastAsia" w:asciiTheme="minorEastAsia" w:hAnsiTheme="minorEastAsia" w:eastAsiaTheme="minorEastAsia" w:cstheme="minorEastAsia"/>
                <w:color w:val="auto"/>
                <w:spacing w:val="0"/>
                <w:sz w:val="21"/>
                <w:szCs w:val="21"/>
              </w:rPr>
              <w:t>时，甲方有权在行权期限内执行单方解约条款。</w:t>
            </w:r>
          </w:p>
          <w:p w14:paraId="22B859D2">
            <w:pPr>
              <w:pStyle w:val="24"/>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具体内容详见附件二电能量零售交易说明第</w:t>
            </w:r>
            <w:r>
              <w:rPr>
                <w:rFonts w:hint="eastAsia" w:asciiTheme="minorEastAsia" w:hAnsiTheme="minorEastAsia" w:eastAsiaTheme="minorEastAsia" w:cstheme="minorEastAsia"/>
                <w:b/>
                <w:bCs/>
                <w:color w:val="auto"/>
                <w:spacing w:val="0"/>
                <w:sz w:val="21"/>
                <w:szCs w:val="21"/>
              </w:rPr>
              <w:t>4</w:t>
            </w:r>
            <w:r>
              <w:rPr>
                <w:rFonts w:hint="eastAsia" w:asciiTheme="minorEastAsia" w:hAnsiTheme="minorEastAsia" w:eastAsiaTheme="minorEastAsia" w:cstheme="minorEastAsia"/>
                <w:color w:val="auto"/>
                <w:spacing w:val="0"/>
                <w:sz w:val="21"/>
                <w:szCs w:val="21"/>
              </w:rPr>
              <w:t>点市场风控条款。</w:t>
            </w:r>
          </w:p>
        </w:tc>
      </w:tr>
    </w:tbl>
    <w:p w14:paraId="1C16D858">
      <w:pPr>
        <w:pStyle w:val="18"/>
        <w:widowControl/>
        <w:shd w:val="clear" w:color="auto" w:fill="FFFFFF"/>
        <w:spacing w:beforeAutospacing="0" w:afterAutospacing="0" w:line="346" w:lineRule="atLeast"/>
        <w:ind w:firstLine="560" w:firstLineChars="200"/>
        <w:jc w:val="both"/>
        <w:rPr>
          <w:rFonts w:hint="eastAsia" w:ascii="仿宋" w:hAnsi="仿宋" w:eastAsia="仿宋" w:cs="仿宋"/>
          <w:color w:val="auto"/>
          <w:sz w:val="28"/>
          <w:szCs w:val="28"/>
          <w:shd w:val="clear" w:color="auto" w:fill="FFFFFF"/>
        </w:rPr>
      </w:pPr>
    </w:p>
    <w:p w14:paraId="0CD62A08">
      <w:pPr>
        <w:pStyle w:val="14"/>
        <w:widowControl/>
        <w:rPr>
          <w:color w:val="auto"/>
        </w:rPr>
      </w:pPr>
      <w:r>
        <w:rPr>
          <w:color w:val="auto"/>
        </w:rPr>
        <w:t>投标人（公章）：　　　　　　　　　　　　　　　</w:t>
      </w:r>
    </w:p>
    <w:p w14:paraId="08224F42">
      <w:pPr>
        <w:pStyle w:val="14"/>
        <w:widowControl/>
        <w:rPr>
          <w:color w:val="auto"/>
        </w:rPr>
      </w:pPr>
      <w:r>
        <w:rPr>
          <w:color w:val="auto"/>
        </w:rPr>
        <w:t>投标人法定代表人（授权人）签字：</w:t>
      </w:r>
    </w:p>
    <w:p w14:paraId="1489B7AF">
      <w:pPr>
        <w:pStyle w:val="14"/>
        <w:bidi w:val="0"/>
        <w:ind w:left="0" w:leftChars="0" w:firstLine="0" w:firstLineChars="0"/>
        <w:rPr>
          <w:rFonts w:hint="default"/>
          <w:color w:val="auto"/>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11D7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00BB5">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5500BB5">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C666">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677B1">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16E677B1">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9E92">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169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8EF3A"/>
    <w:multiLevelType w:val="singleLevel"/>
    <w:tmpl w:val="B558EF3A"/>
    <w:lvl w:ilvl="0" w:tentative="0">
      <w:start w:val="1"/>
      <w:numFmt w:val="decimal"/>
      <w:suff w:val="space"/>
      <w:lvlText w:val="%1."/>
      <w:lvlJc w:val="left"/>
    </w:lvl>
  </w:abstractNum>
  <w:abstractNum w:abstractNumId="1">
    <w:nsid w:val="2963D8DD"/>
    <w:multiLevelType w:val="singleLevel"/>
    <w:tmpl w:val="2963D8DD"/>
    <w:lvl w:ilvl="0" w:tentative="0">
      <w:start w:val="1"/>
      <w:numFmt w:val="decimal"/>
      <w:suff w:val="nothing"/>
      <w:lvlText w:val="%1．"/>
      <w:lvlJc w:val="left"/>
      <w:pPr>
        <w:ind w:left="0" w:firstLine="616"/>
      </w:pPr>
      <w:rPr>
        <w:rFonts w:hint="default"/>
      </w:rPr>
    </w:lvl>
  </w:abstractNum>
  <w:abstractNum w:abstractNumId="2">
    <w:nsid w:val="2F0B880B"/>
    <w:multiLevelType w:val="singleLevel"/>
    <w:tmpl w:val="2F0B880B"/>
    <w:lvl w:ilvl="0" w:tentative="0">
      <w:start w:val="1"/>
      <w:numFmt w:val="decimal"/>
      <w:suff w:val="nothing"/>
      <w:lvlText w:val="%1．"/>
      <w:lvlJc w:val="left"/>
      <w:pPr>
        <w:ind w:left="14" w:firstLine="61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3C"/>
    <w:rsid w:val="0062083C"/>
    <w:rsid w:val="006A0D5B"/>
    <w:rsid w:val="008570EB"/>
    <w:rsid w:val="008F529C"/>
    <w:rsid w:val="00D95CB5"/>
    <w:rsid w:val="00F0218D"/>
    <w:rsid w:val="022E26FA"/>
    <w:rsid w:val="023B0973"/>
    <w:rsid w:val="02E077CA"/>
    <w:rsid w:val="073F28F6"/>
    <w:rsid w:val="0DDB3A50"/>
    <w:rsid w:val="10C20BDE"/>
    <w:rsid w:val="1350433F"/>
    <w:rsid w:val="14EF0ACB"/>
    <w:rsid w:val="159B63B9"/>
    <w:rsid w:val="17C30E84"/>
    <w:rsid w:val="1B5E1503"/>
    <w:rsid w:val="1DAB2809"/>
    <w:rsid w:val="1E803E86"/>
    <w:rsid w:val="1F4B490E"/>
    <w:rsid w:val="200B777F"/>
    <w:rsid w:val="250E7E81"/>
    <w:rsid w:val="29891552"/>
    <w:rsid w:val="2F3648FD"/>
    <w:rsid w:val="2F9E6997"/>
    <w:rsid w:val="30E27356"/>
    <w:rsid w:val="328A09D8"/>
    <w:rsid w:val="366F2A1B"/>
    <w:rsid w:val="37321D6A"/>
    <w:rsid w:val="3BA66857"/>
    <w:rsid w:val="3F7656DD"/>
    <w:rsid w:val="413E1696"/>
    <w:rsid w:val="49E95DD2"/>
    <w:rsid w:val="4A547680"/>
    <w:rsid w:val="4B7D3C6A"/>
    <w:rsid w:val="4BEA1595"/>
    <w:rsid w:val="4C5E51F2"/>
    <w:rsid w:val="50F73284"/>
    <w:rsid w:val="519D2F6C"/>
    <w:rsid w:val="5A502C7D"/>
    <w:rsid w:val="5D6972B8"/>
    <w:rsid w:val="5F09488D"/>
    <w:rsid w:val="613025C6"/>
    <w:rsid w:val="62B40FD5"/>
    <w:rsid w:val="62CD2097"/>
    <w:rsid w:val="63CE60C7"/>
    <w:rsid w:val="66F145A6"/>
    <w:rsid w:val="6B1A7852"/>
    <w:rsid w:val="6BD1699E"/>
    <w:rsid w:val="6F277D86"/>
    <w:rsid w:val="6F540B47"/>
    <w:rsid w:val="71BC0A78"/>
    <w:rsid w:val="749D7B1B"/>
    <w:rsid w:val="771C7837"/>
    <w:rsid w:val="780B1240"/>
    <w:rsid w:val="7C745605"/>
    <w:rsid w:val="7D87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spacing w:line="440" w:lineRule="exact"/>
      <w:ind w:firstLine="420" w:firstLineChars="200"/>
    </w:pPr>
    <w:rPr>
      <w:sz w:val="24"/>
    </w:rPr>
  </w:style>
  <w:style w:type="paragraph" w:styleId="12">
    <w:name w:val="Body Text Indent"/>
    <w:basedOn w:val="1"/>
    <w:next w:val="11"/>
    <w:qFormat/>
    <w:uiPriority w:val="0"/>
    <w:pPr>
      <w:spacing w:line="200" w:lineRule="exact"/>
      <w:ind w:firstLine="301"/>
    </w:pPr>
    <w:rPr>
      <w:rFonts w:ascii="宋体" w:hAnsi="Courier New"/>
      <w:spacing w:val="-4"/>
      <w:sz w:val="18"/>
      <w:szCs w:val="20"/>
    </w:rPr>
  </w:style>
  <w:style w:type="paragraph" w:styleId="13">
    <w:name w:val="annotation text"/>
    <w:basedOn w:val="1"/>
    <w:qFormat/>
    <w:uiPriority w:val="0"/>
    <w:pPr>
      <w:jc w:val="left"/>
    </w:pPr>
  </w:style>
  <w:style w:type="paragraph" w:styleId="1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22">
    <w:name w:val="Strong"/>
    <w:basedOn w:val="21"/>
    <w:qFormat/>
    <w:uiPriority w:val="0"/>
    <w:rPr>
      <w:b/>
    </w:rPr>
  </w:style>
  <w:style w:type="paragraph" w:customStyle="1" w:styleId="23">
    <w:name w:val="null3"/>
    <w:qFormat/>
    <w:uiPriority w:val="0"/>
    <w:rPr>
      <w:rFonts w:hint="eastAsia" w:ascii="Calibri" w:hAnsi="Calibri" w:eastAsia="宋体" w:cs="宋体"/>
      <w:lang w:val="en-US"/>
    </w:rPr>
  </w:style>
  <w:style w:type="paragraph" w:customStyle="1" w:styleId="24">
    <w:name w:val="Table Text"/>
    <w:basedOn w:val="1"/>
    <w:semiHidden/>
    <w:qFormat/>
    <w:uiPriority w:val="0"/>
    <w:rPr>
      <w:rFonts w:ascii="宋体" w:hAnsi="宋体" w:eastAsia="宋体" w:cs="宋体"/>
      <w:sz w:val="19"/>
      <w:szCs w:val="1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d81ce776-7082-4585-9ea5-08bd22f92a99</errorID>
      <errorWord>所必须的</errorWord>
      <group>L1_Word</group>
      <groupName>字词问题</groupName>
      <ability>L2_Typo</ability>
      <abilityName>字词错误</abilityName>
      <candidateList>
        <item>所必需的</item>
      </candidateList>
      <explain/>
      <paraID>4719BFF4</paraID>
      <start>9</start>
      <end>13</end>
      <status>ignored</status>
      <modifiedWord/>
      <trackRevisions>false</trackRevisions>
    </reviewItem>
    <reviewItem>
      <errorID>3cd2cedc-ed36-4127-9b85-6a0a1f035e93</errorID>
      <errorWord>理</errorWord>
      <group>L1_Word</group>
      <groupName>字词问题</groupName>
      <ability>L2_Typo</ability>
      <abilityName>字词错误</abilityName>
      <candidateList>
        <item>联</item>
      </candidateList>
      <explain/>
      <paraID>6A4AB59E</paraID>
      <start>17</start>
      <end>18</end>
      <status>unmodified</status>
      <modifiedWord/>
      <trackRevisions>false</trackRevisions>
    </reviewItem>
    <reviewItem>
      <errorID>b8315102-110e-416e-8c65-18cfa5d4639b</errorID>
      <errorWord>，</errorWord>
      <group>L1_Word</group>
      <groupName>字词问题</groupName>
      <ability>L2_Typo</ability>
      <abilityName>字词错误</abilityName>
      <candidateList>
        <item>，可</item>
      </candidateList>
      <explain/>
      <paraID>6A66AE75</paraID>
      <start>98</start>
      <end>99</end>
      <status>unmodified</status>
      <modifiedWord/>
      <trackRevisions>false</trackRevisions>
    </reviewItem>
    <reviewItem>
      <errorID>30ecf2bd-ee11-4162-844c-e7b17b9339a8</errorID>
      <errorWord>作</errorWord>
      <group>L1_Word</group>
      <groupName>字词问题</groupName>
      <ability>L2_Typo</ability>
      <abilityName>字词错误</abilityName>
      <candidateList>
        <item>做</item>
      </candidateList>
      <explain>存在发音相同字词的误用。</explain>
      <paraID>6A66AE75</paraID>
      <start>143</start>
      <end>144</end>
      <status>unmodified</status>
      <modifiedWord/>
      <trackRevisions>false</trackRevisions>
    </reviewItem>
    <reviewItem>
      <errorID>def346ab-bd8f-45f1-8969-1b12f91ac2a3</errorID>
      <errorWord>其它</errorWord>
      <group>L1_Word</group>
      <groupName>字词问题</groupName>
      <ability>L2_Alias</ability>
      <abilityName>也作/曾用词</abilityName>
      <candidateList>
        <item>其他</item>
      </candidateList>
      <explain>词汇[其它]为不规范表述或旧称，其规范书面表述为[其他]。</explain>
      <paraID>1C40F2AB</paraID>
      <start>0</start>
      <end>2</end>
      <status>modified</status>
      <modifiedWord>其他</modifiedWord>
      <trackRevisions>false</trackRevisions>
    </reviewItem>
    <reviewItem>
      <errorID>4ee69c3e-8a62-480f-a61f-96ad548de161</errorID>
      <errorWord>％</errorWord>
      <group>L1_Format</group>
      <groupName>格式问题</groupName>
      <ability>L2_HalfPunc</ability>
      <abilityName>全半角检查</abilityName>
      <candidateList>
        <item>%</item>
      </candidateList>
      <explain>文本全半角错误。</explain>
      <paraID>7A5A46D0</paraID>
      <start>2</start>
      <end>3</end>
      <status>modified</status>
      <modifiedWord>%</modifiedWord>
      <trackRevisions>false</trackRevisions>
    </reviewItem>
    <reviewItem>
      <errorID>6aeb6b83-1133-45a3-966a-1da22dacd469</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34911B2</paraID>
      <start>77</start>
      <end>78</end>
      <status>modified</status>
      <modifiedWord>为</modifiedWord>
      <trackRevisions>false</trackRevisions>
    </reviewItem>
    <reviewItem>
      <errorID>b95bfde0-d4a5-4f40-be11-ced852ed5066</errorID>
      <errorWord>％</errorWord>
      <group>L1_Format</group>
      <groupName>格式问题</groupName>
      <ability>L2_HalfPunc</ability>
      <abilityName>全半角检查</abilityName>
      <candidateList>
        <item>%</item>
      </candidateList>
      <explain>文本全半角错误。</explain>
      <paraID> 8B863E1</paraID>
      <start>1</start>
      <end>2</end>
      <status>modified</status>
      <modifiedWord>%</modifiedWord>
      <trackRevisions>false</trackRevisions>
    </reviewItem>
    <reviewItem>
      <errorID>2d7817c8-c2e3-415f-8f2d-23a9602d1cf6</errorID>
      <errorWord>％</errorWord>
      <group>L1_Format</group>
      <groupName>格式问题</groupName>
      <ability>L2_HalfPunc</ability>
      <abilityName>全半角检查</abilityName>
      <candidateList>
        <item>%</item>
      </candidateList>
      <explain>文本全半角错误。</explain>
      <paraID>611E165C</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89b9b-7051-47ab-920d-7aabecc53c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2247</Words>
  <Characters>2346</Characters>
  <Lines>8</Lines>
  <Paragraphs>2</Paragraphs>
  <TotalTime>2</TotalTime>
  <ScaleCrop>false</ScaleCrop>
  <LinksUpToDate>false</LinksUpToDate>
  <CharactersWithSpaces>2391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2025-02-26T01:36:00Z</dcterms:created>
  <dc:creator>lenovo</dc:creator>
  <cp:lastModifiedBy>伍卓坚</cp:lastModifiedBy>
  <dcterms:modified xsi:type="dcterms:W3CDTF">2025-11-25T23:58:24Z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5E18BFE700C44C389989DB9321C29590_13</vt:lpwstr>
  </property>
</Properties>
</file>