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b/>
          <w:sz w:val="36"/>
          <w:lang w:val="en-US" w:eastAsia="zh-CN"/>
        </w:rPr>
      </w:pPr>
      <w:r>
        <w:rPr>
          <w:rFonts w:hint="eastAsia"/>
          <w:b/>
          <w:sz w:val="36"/>
          <w:lang w:eastAsia="zh-CN"/>
        </w:rPr>
        <w:t>附件</w:t>
      </w:r>
      <w:r>
        <w:rPr>
          <w:rFonts w:hint="eastAsia"/>
          <w:b/>
          <w:sz w:val="36"/>
          <w:lang w:val="en-US" w:eastAsia="zh-CN"/>
        </w:rPr>
        <w:t>3</w:t>
      </w:r>
    </w:p>
    <w:p>
      <w:pPr>
        <w:spacing w:line="360" w:lineRule="auto"/>
        <w:jc w:val="center"/>
      </w:pPr>
      <w:r>
        <w:rPr>
          <w:b/>
          <w:sz w:val="36"/>
        </w:rPr>
        <w:t>采购需求</w:t>
      </w:r>
    </w:p>
    <w:p>
      <w:pPr>
        <w:spacing w:line="360" w:lineRule="auto"/>
        <w:rPr>
          <w:b/>
          <w:sz w:val="28"/>
        </w:rPr>
      </w:pPr>
      <w:r>
        <w:rPr>
          <w:b/>
          <w:sz w:val="28"/>
        </w:rPr>
        <w:t>一、项目概况：</w:t>
      </w:r>
    </w:p>
    <w:p>
      <w:pPr>
        <w:spacing w:line="360" w:lineRule="auto"/>
        <w:ind w:firstLine="420"/>
      </w:pPr>
      <w:r>
        <w:rPr>
          <w:rFonts w:hint="eastAsia"/>
        </w:rPr>
        <w:t>本次采购内容为江门市妇幼保健院</w:t>
      </w:r>
      <w:r>
        <w:rPr>
          <w:rFonts w:hint="eastAsia"/>
          <w:b/>
        </w:rPr>
        <w:t>医疗设备项目（编号YL2511）院内采购项目</w:t>
      </w:r>
      <w:r>
        <w:rPr>
          <w:rFonts w:hint="eastAsia"/>
        </w:rPr>
        <w:t>（具体详见技术要求）。</w:t>
      </w:r>
    </w:p>
    <w:p>
      <w:pPr>
        <w:spacing w:line="360" w:lineRule="auto"/>
      </w:pPr>
      <w:r>
        <w:rPr>
          <w:rFonts w:hint="eastAsia"/>
          <w:b/>
          <w:sz w:val="24"/>
        </w:rPr>
        <w:t>1-1</w:t>
      </w:r>
      <w:r>
        <w:rPr>
          <w:b/>
          <w:sz w:val="24"/>
        </w:rPr>
        <w:t>技术标准与要求</w:t>
      </w:r>
    </w:p>
    <w:tbl>
      <w:tblPr>
        <w:tblStyle w:val="8"/>
        <w:tblW w:w="85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077"/>
        <w:gridCol w:w="11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pPr>
              <w:spacing w:line="360" w:lineRule="auto"/>
              <w:jc w:val="center"/>
            </w:pPr>
            <w:r>
              <w:rPr>
                <w:rFonts w:hint="eastAsia"/>
              </w:rPr>
              <w:t>项目编号</w:t>
            </w:r>
          </w:p>
        </w:tc>
        <w:tc>
          <w:tcPr>
            <w:tcW w:w="1701" w:type="dxa"/>
            <w:vAlign w:val="center"/>
          </w:tcPr>
          <w:p>
            <w:pPr>
              <w:spacing w:line="360" w:lineRule="auto"/>
              <w:jc w:val="center"/>
            </w:pPr>
            <w:r>
              <w:rPr>
                <w:rFonts w:hint="eastAsia"/>
              </w:rPr>
              <w:t>项目</w:t>
            </w:r>
            <w:r>
              <w:t>名称</w:t>
            </w:r>
          </w:p>
        </w:tc>
        <w:tc>
          <w:tcPr>
            <w:tcW w:w="1077" w:type="dxa"/>
            <w:vAlign w:val="center"/>
          </w:tcPr>
          <w:p>
            <w:pPr>
              <w:spacing w:line="360" w:lineRule="auto"/>
              <w:jc w:val="center"/>
            </w:pPr>
            <w:r>
              <w:t>单位</w:t>
            </w:r>
          </w:p>
        </w:tc>
        <w:tc>
          <w:tcPr>
            <w:tcW w:w="1077" w:type="dxa"/>
            <w:vAlign w:val="center"/>
          </w:tcPr>
          <w:p>
            <w:pPr>
              <w:spacing w:line="360" w:lineRule="auto"/>
              <w:jc w:val="center"/>
            </w:pPr>
            <w:r>
              <w:t>数量</w:t>
            </w:r>
          </w:p>
        </w:tc>
        <w:tc>
          <w:tcPr>
            <w:tcW w:w="1077" w:type="dxa"/>
            <w:vAlign w:val="center"/>
          </w:tcPr>
          <w:p>
            <w:pPr>
              <w:spacing w:line="360" w:lineRule="auto"/>
              <w:jc w:val="center"/>
            </w:pPr>
            <w:r>
              <w:t>预算单价（</w:t>
            </w:r>
            <w:r>
              <w:rPr>
                <w:rFonts w:hint="eastAsia"/>
              </w:rPr>
              <w:t>万</w:t>
            </w:r>
            <w:r>
              <w:t>元）</w:t>
            </w:r>
          </w:p>
        </w:tc>
        <w:tc>
          <w:tcPr>
            <w:tcW w:w="1077" w:type="dxa"/>
            <w:vAlign w:val="center"/>
          </w:tcPr>
          <w:p>
            <w:pPr>
              <w:spacing w:line="360" w:lineRule="auto"/>
              <w:jc w:val="center"/>
            </w:pPr>
            <w:r>
              <w:t>预算总价（</w:t>
            </w:r>
            <w:r>
              <w:rPr>
                <w:rFonts w:hint="eastAsia"/>
              </w:rPr>
              <w:t>万</w:t>
            </w:r>
            <w:r>
              <w:t>元）</w:t>
            </w:r>
          </w:p>
        </w:tc>
        <w:tc>
          <w:tcPr>
            <w:tcW w:w="1134" w:type="dxa"/>
            <w:vAlign w:val="center"/>
          </w:tcPr>
          <w:p>
            <w:pPr>
              <w:spacing w:line="360" w:lineRule="auto"/>
              <w:jc w:val="center"/>
              <w:rPr>
                <w:b/>
              </w:rPr>
            </w:pPr>
            <w:r>
              <w:rPr>
                <w:b/>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pPr>
              <w:jc w:val="center"/>
              <w:rPr>
                <w:rFonts w:hint="default" w:eastAsiaTheme="minorEastAsia"/>
                <w:lang w:val="en-US" w:eastAsia="zh-CN"/>
              </w:rPr>
            </w:pPr>
            <w:bookmarkStart w:id="0" w:name="OLE_LINK1" w:colFirst="0" w:colLast="1"/>
            <w:r>
              <w:rPr>
                <w:rFonts w:hint="eastAsia"/>
              </w:rPr>
              <w:t>YL2511</w:t>
            </w:r>
            <w:r>
              <w:rPr>
                <w:rFonts w:hint="eastAsia"/>
                <w:lang w:val="en-US" w:eastAsia="zh-CN"/>
              </w:rPr>
              <w:t>-3</w:t>
            </w:r>
          </w:p>
        </w:tc>
        <w:tc>
          <w:tcPr>
            <w:tcW w:w="1701" w:type="dxa"/>
            <w:vAlign w:val="center"/>
          </w:tcPr>
          <w:p>
            <w:pPr>
              <w:jc w:val="center"/>
            </w:pPr>
            <w:r>
              <w:rPr>
                <w:rFonts w:hint="eastAsia"/>
              </w:rPr>
              <w:t>儿童悬吊康复训练系统</w:t>
            </w:r>
          </w:p>
        </w:tc>
        <w:tc>
          <w:tcPr>
            <w:tcW w:w="1077" w:type="dxa"/>
            <w:vAlign w:val="center"/>
          </w:tcPr>
          <w:p>
            <w:pPr>
              <w:jc w:val="center"/>
            </w:pPr>
            <w:r>
              <w:rPr>
                <w:rFonts w:hint="eastAsia"/>
              </w:rPr>
              <w:t>套</w:t>
            </w:r>
          </w:p>
        </w:tc>
        <w:tc>
          <w:tcPr>
            <w:tcW w:w="1077" w:type="dxa"/>
            <w:vAlign w:val="center"/>
          </w:tcPr>
          <w:p>
            <w:pPr>
              <w:jc w:val="center"/>
            </w:pPr>
            <w:r>
              <w:rPr>
                <w:rFonts w:hint="eastAsia"/>
              </w:rPr>
              <w:t>1</w:t>
            </w:r>
          </w:p>
        </w:tc>
        <w:tc>
          <w:tcPr>
            <w:tcW w:w="1077" w:type="dxa"/>
            <w:vAlign w:val="center"/>
          </w:tcPr>
          <w:p>
            <w:pPr>
              <w:jc w:val="center"/>
            </w:pPr>
            <w:r>
              <w:rPr>
                <w:rFonts w:hint="eastAsia"/>
              </w:rPr>
              <w:t>20</w:t>
            </w:r>
          </w:p>
        </w:tc>
        <w:tc>
          <w:tcPr>
            <w:tcW w:w="1077" w:type="dxa"/>
            <w:vAlign w:val="center"/>
          </w:tcPr>
          <w:p>
            <w:pPr>
              <w:jc w:val="center"/>
            </w:pPr>
            <w:r>
              <w:rPr>
                <w:rFonts w:hint="eastAsia"/>
              </w:rPr>
              <w:t>20</w:t>
            </w:r>
          </w:p>
        </w:tc>
        <w:tc>
          <w:tcPr>
            <w:tcW w:w="1134" w:type="dxa"/>
            <w:vAlign w:val="center"/>
          </w:tcPr>
          <w:p>
            <w:pPr>
              <w:jc w:val="center"/>
            </w:pPr>
            <w:r>
              <w:rPr>
                <w:rFonts w:hint="eastAsia"/>
              </w:rPr>
              <w:t>详见附表一</w:t>
            </w:r>
          </w:p>
        </w:tc>
      </w:tr>
      <w:bookmarkEnd w:id="0"/>
    </w:tbl>
    <w:p>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r>
              <w:t>参数性质</w:t>
            </w:r>
          </w:p>
        </w:tc>
        <w:tc>
          <w:tcPr>
            <w:tcW w:w="486" w:type="dxa"/>
          </w:tcPr>
          <w:p>
            <w:r>
              <w:t>序号</w:t>
            </w:r>
          </w:p>
        </w:tc>
        <w:tc>
          <w:tcPr>
            <w:tcW w:w="7500" w:type="dxa"/>
            <w:vAlign w:val="center"/>
          </w:tcPr>
          <w:p>
            <w:pPr>
              <w:jc w:val="center"/>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tc>
        <w:tc>
          <w:tcPr>
            <w:tcW w:w="486" w:type="dxa"/>
          </w:tcPr>
          <w:p>
            <w:r>
              <w:rPr>
                <w:rFonts w:hint="eastAsia"/>
              </w:rPr>
              <w:t>1</w:t>
            </w:r>
          </w:p>
        </w:tc>
        <w:tc>
          <w:tcPr>
            <w:tcW w:w="7500" w:type="dxa"/>
          </w:tcPr>
          <w:tbl>
            <w:tblPr>
              <w:tblStyle w:val="9"/>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c>
                <w:tcPr>
                  <w:tcW w:w="939" w:type="dxa"/>
                  <w:shd w:val="clear" w:color="auto" w:fill="FDE9D9" w:themeFill="accent6" w:themeFillTint="33"/>
                  <w:vAlign w:val="center"/>
                </w:tcPr>
                <w:p>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序号</w:t>
                  </w:r>
                </w:p>
              </w:tc>
              <w:tc>
                <w:tcPr>
                  <w:tcW w:w="6350" w:type="dxa"/>
                  <w:shd w:val="clear" w:color="auto" w:fill="FDE9D9" w:themeFill="accent6" w:themeFillTint="33"/>
                  <w:vAlign w:val="center"/>
                </w:tcPr>
                <w:p>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技术和性能参数</w:t>
                  </w:r>
                  <w:r>
                    <w:rPr>
                      <w:rFonts w:hint="eastAsia" w:cs="Times New Roman" w:asciiTheme="minorEastAsia" w:hAnsiTheme="minorEastAsia" w:eastAsiaTheme="minorEastAsia"/>
                      <w:b/>
                      <w:kern w:val="0"/>
                      <w:sz w:val="22"/>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pPr>
                    <w:jc w:val="center"/>
                    <w:rPr>
                      <w:rFonts w:cs="宋体" w:asciiTheme="minorEastAsia" w:hAnsiTheme="minorEastAsia" w:eastAsiaTheme="minorEastAsia"/>
                      <w:b/>
                      <w:sz w:val="24"/>
                    </w:rPr>
                  </w:pPr>
                  <w:r>
                    <w:rPr>
                      <w:rFonts w:hint="eastAsia" w:cs="Times New Roman" w:asciiTheme="minorEastAsia" w:hAnsiTheme="minorEastAsia" w:eastAsiaTheme="minorEastAsia"/>
                      <w:b/>
                      <w:sz w:val="24"/>
                    </w:rPr>
                    <w:t>▲</w:t>
                  </w:r>
                  <w:r>
                    <w:rPr>
                      <w:rFonts w:hint="eastAsia" w:cs="宋体" w:asciiTheme="minorEastAsia" w:hAnsiTheme="minorEastAsia" w:eastAsiaTheme="minorEastAsia"/>
                      <w:b/>
                      <w:kern w:val="0"/>
                      <w:sz w:val="24"/>
                    </w:rPr>
                    <w:t>1</w:t>
                  </w:r>
                </w:p>
              </w:tc>
              <w:tc>
                <w:tcPr>
                  <w:tcW w:w="6350" w:type="dxa"/>
                  <w:shd w:val="clear" w:color="auto" w:fill="FDE9D9" w:themeFill="accent6" w:themeFillTint="33"/>
                  <w:vAlign w:val="center"/>
                </w:tcPr>
                <w:p>
                  <w:pPr>
                    <w:rPr>
                      <w:rFonts w:cs="Times New Roman" w:asciiTheme="minorEastAsia" w:hAnsiTheme="minorEastAsia" w:eastAsiaTheme="minorEastAsia"/>
                      <w:sz w:val="24"/>
                    </w:rPr>
                  </w:pPr>
                  <w:r>
                    <w:rPr>
                      <w:rFonts w:ascii="宋体" w:hAnsi="宋体" w:eastAsia="宋体" w:cs="宋体"/>
                      <w:bCs/>
                      <w:kern w:val="0"/>
                      <w:sz w:val="24"/>
                    </w:rPr>
                    <w:t>滑</w:t>
                  </w:r>
                  <w:r>
                    <w:rPr>
                      <w:rFonts w:hint="eastAsia" w:ascii="宋体" w:hAnsi="宋体" w:eastAsia="宋体" w:cs="宋体"/>
                      <w:bCs/>
                      <w:kern w:val="0"/>
                      <w:sz w:val="24"/>
                    </w:rPr>
                    <w:t xml:space="preserve"> </w:t>
                  </w:r>
                  <w:r>
                    <w:rPr>
                      <w:rFonts w:ascii="宋体" w:hAnsi="宋体" w:eastAsia="宋体" w:cs="宋体"/>
                      <w:bCs/>
                      <w:kern w:val="0"/>
                      <w:sz w:val="24"/>
                    </w:rPr>
                    <w:t>轨</w:t>
                  </w:r>
                  <w:r>
                    <w:rPr>
                      <w:rFonts w:hint="eastAsia" w:ascii="宋体" w:hAnsi="宋体" w:eastAsia="宋体" w:cs="宋体"/>
                      <w:bCs/>
                      <w:kern w:val="0"/>
                      <w:sz w:val="24"/>
                    </w:rPr>
                    <w:t>：长度至少6米，钢化铝合金材质，承重大于200KG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pPr>
                    <w:jc w:val="center"/>
                    <w:rPr>
                      <w:rFonts w:cs="宋体" w:asciiTheme="minorEastAsia" w:hAnsiTheme="minorEastAsia" w:eastAsiaTheme="minorEastAsia"/>
                      <w:b/>
                      <w:kern w:val="0"/>
                      <w:sz w:val="24"/>
                    </w:rPr>
                  </w:pPr>
                  <w:r>
                    <w:rPr>
                      <w:rFonts w:hint="eastAsia" w:cs="Times New Roman" w:asciiTheme="minorEastAsia" w:hAnsiTheme="minorEastAsia" w:eastAsiaTheme="minorEastAsia"/>
                      <w:b/>
                      <w:sz w:val="24"/>
                    </w:rPr>
                    <w:t>▲</w:t>
                  </w:r>
                  <w:r>
                    <w:rPr>
                      <w:rFonts w:hint="eastAsia" w:cs="宋体" w:asciiTheme="minorEastAsia" w:hAnsiTheme="minorEastAsia" w:eastAsiaTheme="minorEastAsia"/>
                      <w:b/>
                      <w:kern w:val="0"/>
                      <w:sz w:val="24"/>
                    </w:rPr>
                    <w:t>2</w:t>
                  </w:r>
                </w:p>
              </w:tc>
              <w:tc>
                <w:tcPr>
                  <w:tcW w:w="6350" w:type="dxa"/>
                  <w:shd w:val="clear" w:color="auto" w:fill="FDE9D9" w:themeFill="accent6" w:themeFillTint="33"/>
                  <w:vAlign w:val="center"/>
                </w:tcPr>
                <w:p>
                  <w:pPr>
                    <w:rPr>
                      <w:rFonts w:cs="Times New Roman" w:asciiTheme="minorEastAsia" w:hAnsiTheme="minorEastAsia" w:eastAsiaTheme="minorEastAsia"/>
                      <w:sz w:val="24"/>
                    </w:rPr>
                  </w:pPr>
                  <w:r>
                    <w:rPr>
                      <w:rFonts w:hint="eastAsia" w:ascii="宋体" w:hAnsi="宋体" w:eastAsia="宋体" w:cs="Times New Roman"/>
                      <w:bCs/>
                      <w:kern w:val="0"/>
                      <w:sz w:val="24"/>
                    </w:rPr>
                    <w:t>滑车：</w:t>
                  </w:r>
                  <w:r>
                    <w:rPr>
                      <w:rFonts w:hint="eastAsia" w:ascii="宋体" w:hAnsi="宋体" w:eastAsia="宋体" w:cs="宋体"/>
                      <w:bCs/>
                      <w:kern w:val="0"/>
                      <w:sz w:val="24"/>
                    </w:rPr>
                    <w:t>至少2个，8轮三轴静音滑车，八个轮子全部置入轨道内，具有随时锁定功能，同时具有角度锁定功能，</w:t>
                  </w:r>
                  <w:r>
                    <w:rPr>
                      <w:rFonts w:ascii="宋体" w:hAnsi="宋体" w:eastAsia="宋体" w:cs="宋体"/>
                      <w:bCs/>
                      <w:kern w:val="0"/>
                      <w:sz w:val="24"/>
                    </w:rPr>
                    <w:t>三角型尺寸</w:t>
                  </w:r>
                  <w:r>
                    <w:rPr>
                      <w:rFonts w:hint="eastAsia" w:ascii="宋体" w:hAnsi="宋体" w:eastAsia="宋体" w:cs="宋体"/>
                      <w:bCs/>
                      <w:kern w:val="0"/>
                      <w:sz w:val="24"/>
                    </w:rPr>
                    <w:t>650*120*250mm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pPr>
                    <w:jc w:val="center"/>
                    <w:rPr>
                      <w:rFonts w:cs="Times New Roman" w:asciiTheme="minorEastAsia" w:hAnsiTheme="minorEastAsia" w:eastAsiaTheme="minorEastAsia"/>
                      <w:b/>
                      <w:sz w:val="24"/>
                    </w:rPr>
                  </w:pPr>
                  <w:r>
                    <w:rPr>
                      <w:rFonts w:hint="eastAsia" w:cs="Times New Roman" w:asciiTheme="minorEastAsia" w:hAnsiTheme="minorEastAsia" w:eastAsiaTheme="minorEastAsia"/>
                      <w:b/>
                      <w:sz w:val="24"/>
                    </w:rPr>
                    <w:t>▲</w:t>
                  </w:r>
                  <w:r>
                    <w:rPr>
                      <w:rFonts w:hint="eastAsia" w:cs="Arial" w:asciiTheme="minorEastAsia" w:hAnsiTheme="minorEastAsia" w:eastAsiaTheme="minorEastAsia"/>
                      <w:b/>
                      <w:sz w:val="24"/>
                    </w:rPr>
                    <w:t>3</w:t>
                  </w:r>
                </w:p>
              </w:tc>
              <w:tc>
                <w:tcPr>
                  <w:tcW w:w="6350" w:type="dxa"/>
                  <w:shd w:val="clear" w:color="auto" w:fill="FDE9D9" w:themeFill="accent6" w:themeFillTint="33"/>
                  <w:vAlign w:val="center"/>
                </w:tcPr>
                <w:p>
                  <w:pPr>
                    <w:rPr>
                      <w:rFonts w:cs="Times New Roman" w:asciiTheme="minorEastAsia" w:hAnsiTheme="minorEastAsia" w:eastAsiaTheme="minorEastAsia"/>
                      <w:sz w:val="24"/>
                    </w:rPr>
                  </w:pPr>
                  <w:r>
                    <w:rPr>
                      <w:rFonts w:hint="eastAsia" w:ascii="宋体" w:hAnsi="宋体" w:eastAsia="宋体" w:cs="Times New Roman"/>
                      <w:bCs/>
                      <w:kern w:val="0"/>
                      <w:sz w:val="24"/>
                    </w:rPr>
                    <w:t>悬吊器：</w:t>
                  </w:r>
                  <w:r>
                    <w:rPr>
                      <w:rFonts w:hint="eastAsia" w:ascii="宋体" w:hAnsi="宋体" w:eastAsia="宋体" w:cs="Times New Roman"/>
                      <w:bCs/>
                      <w:sz w:val="24"/>
                    </w:rPr>
                    <w:t>至少4套，</w:t>
                  </w:r>
                  <w:r>
                    <w:rPr>
                      <w:rFonts w:hint="eastAsia" w:ascii="宋体" w:hAnsi="宋体" w:eastAsia="宋体" w:cs="Times New Roman"/>
                      <w:bCs/>
                      <w:kern w:val="0"/>
                      <w:sz w:val="24"/>
                    </w:rPr>
                    <w:t>外形尺寸：670*180*70mm，配备2根5米红绳，内置2个不锈钢安全钩，内有锁定装置，</w:t>
                  </w:r>
                  <w:r>
                    <w:rPr>
                      <w:rFonts w:hint="eastAsia" w:ascii="宋体" w:hAnsi="宋体" w:eastAsia="宋体" w:cs="Times New Roman"/>
                      <w:bCs/>
                      <w:sz w:val="24"/>
                    </w:rPr>
                    <w:t>具备任意滑动位置随时锁定的效果。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pPr>
                    <w:jc w:val="center"/>
                    <w:rPr>
                      <w:rFonts w:cs="Arial" w:asciiTheme="minorEastAsia" w:hAnsiTheme="minorEastAsia" w:eastAsiaTheme="minorEastAsia"/>
                      <w:b/>
                      <w:sz w:val="24"/>
                    </w:rPr>
                  </w:pPr>
                  <w:r>
                    <w:rPr>
                      <w:rFonts w:hint="eastAsia" w:cs="Arial" w:asciiTheme="minorEastAsia" w:hAnsiTheme="minorEastAsia" w:eastAsiaTheme="minorEastAsia"/>
                      <w:b/>
                      <w:sz w:val="24"/>
                    </w:rPr>
                    <w:t>4</w:t>
                  </w:r>
                </w:p>
              </w:tc>
              <w:tc>
                <w:tcPr>
                  <w:tcW w:w="6350" w:type="dxa"/>
                  <w:shd w:val="clear" w:color="auto" w:fill="FDE9D9" w:themeFill="accent6" w:themeFillTint="33"/>
                  <w:vAlign w:val="center"/>
                </w:tcPr>
                <w:p>
                  <w:pPr>
                    <w:rPr>
                      <w:rFonts w:cs="Times New Roman" w:asciiTheme="minorEastAsia" w:hAnsiTheme="minorEastAsia" w:eastAsiaTheme="minorEastAsia"/>
                      <w:sz w:val="24"/>
                    </w:rPr>
                  </w:pPr>
                  <w:r>
                    <w:rPr>
                      <w:rFonts w:hint="eastAsia" w:ascii="Times New Roman" w:hAnsi="Times New Roman" w:eastAsia="宋体" w:cs="Times New Roman"/>
                      <w:sz w:val="24"/>
                    </w:rPr>
                    <w:t>平衡协调训练系统：</w:t>
                  </w:r>
                  <w:r>
                    <w:rPr>
                      <w:rFonts w:hint="eastAsia" w:ascii="宋体" w:hAnsi="宋体" w:eastAsia="宋体" w:cs="宋体"/>
                      <w:kern w:val="0"/>
                      <w:sz w:val="24"/>
                    </w:rPr>
                    <w:t>方形晃板、</w:t>
                  </w:r>
                  <w:r>
                    <w:rPr>
                      <w:rFonts w:hint="eastAsia" w:ascii="宋体" w:hAnsi="宋体" w:eastAsia="宋体" w:cs="Times New Roman"/>
                      <w:sz w:val="24"/>
                    </w:rPr>
                    <w:t>摇摆旋转装置、滑动训练装置、吊袋等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pPr>
                    <w:jc w:val="center"/>
                    <w:rPr>
                      <w:rFonts w:cs="Arial" w:asciiTheme="minorEastAsia" w:hAnsiTheme="minorEastAsia" w:eastAsiaTheme="minorEastAsia"/>
                      <w:b/>
                      <w:sz w:val="24"/>
                    </w:rPr>
                  </w:pPr>
                  <w:r>
                    <w:rPr>
                      <w:rFonts w:hint="eastAsia" w:cs="Arial" w:asciiTheme="minorEastAsia" w:hAnsiTheme="minorEastAsia" w:eastAsiaTheme="minorEastAsia"/>
                      <w:b/>
                      <w:sz w:val="24"/>
                    </w:rPr>
                    <w:t>5</w:t>
                  </w:r>
                </w:p>
              </w:tc>
              <w:tc>
                <w:tcPr>
                  <w:tcW w:w="6350" w:type="dxa"/>
                  <w:shd w:val="clear" w:color="auto" w:fill="FDE9D9" w:themeFill="accent6" w:themeFillTint="33"/>
                  <w:vAlign w:val="center"/>
                </w:tcPr>
                <w:p>
                  <w:pPr>
                    <w:rPr>
                      <w:rFonts w:cs="Times New Roman" w:asciiTheme="minorEastAsia" w:hAnsiTheme="minorEastAsia" w:eastAsiaTheme="minorEastAsia"/>
                      <w:sz w:val="24"/>
                    </w:rPr>
                  </w:pPr>
                  <w:r>
                    <w:rPr>
                      <w:rFonts w:hint="eastAsia" w:ascii="宋体" w:hAnsi="宋体" w:eastAsia="宋体" w:cs="Times New Roman"/>
                      <w:sz w:val="24"/>
                    </w:rPr>
                    <w:t>配件：横抱桶、宽悬带、肩带、腰腹部固定带、悬带、滑索弹性绳等</w:t>
                  </w:r>
                </w:p>
              </w:tc>
            </w:tr>
          </w:tbl>
          <w:p>
            <w:pPr>
              <w:spacing w:line="360" w:lineRule="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tc>
        <w:tc>
          <w:tcPr>
            <w:tcW w:w="486" w:type="dxa"/>
          </w:tcPr>
          <w:p>
            <w:r>
              <w:rPr>
                <w:rFonts w:hint="eastAsia"/>
              </w:rPr>
              <w:t>2</w:t>
            </w:r>
          </w:p>
        </w:tc>
        <w:tc>
          <w:tcPr>
            <w:tcW w:w="7500" w:type="dxa"/>
          </w:tcPr>
          <w:p>
            <w:pPr>
              <w:spacing w:line="360" w:lineRule="auto"/>
              <w:jc w:val="left"/>
            </w:pPr>
            <w:r>
              <w:rPr>
                <w:rFonts w:hint="eastAsia"/>
              </w:rPr>
              <w:t>货物要求：</w:t>
            </w:r>
          </w:p>
          <w:p>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pPr>
              <w:spacing w:line="360" w:lineRule="auto"/>
              <w:jc w:val="left"/>
              <w:rPr>
                <w:rFonts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pPr>
        <w:pStyle w:val="7"/>
        <w:ind w:left="0" w:leftChars="0" w:firstLine="0" w:firstLineChars="0"/>
      </w:pPr>
    </w:p>
    <w:p>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spacing w:line="360" w:lineRule="auto"/>
            </w:pPr>
            <w:r>
              <w:rPr>
                <w:rFonts w:hint="eastAsia"/>
              </w:rPr>
              <w:t>① 供货</w:t>
            </w:r>
            <w:r>
              <w:t>时间</w:t>
            </w:r>
          </w:p>
        </w:tc>
        <w:tc>
          <w:tcPr>
            <w:tcW w:w="6663" w:type="dxa"/>
          </w:tcPr>
          <w:p>
            <w:pPr>
              <w:spacing w:line="360" w:lineRule="auto"/>
            </w:pPr>
            <w:r>
              <w:rPr>
                <w:rFonts w:hint="eastAsia"/>
              </w:rPr>
              <w:t>合同签订生效后30个日历天内，完成到货安装调试并提交采购人试用。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spacing w:line="360" w:lineRule="auto"/>
            </w:pPr>
            <w:r>
              <w:rPr>
                <w:rFonts w:hint="eastAsia"/>
              </w:rPr>
              <w:t>② 供货</w:t>
            </w:r>
            <w:r>
              <w:t>地点</w:t>
            </w:r>
          </w:p>
        </w:tc>
        <w:tc>
          <w:tcPr>
            <w:tcW w:w="6663" w:type="dxa"/>
          </w:tcPr>
          <w:p>
            <w:pPr>
              <w:spacing w:line="360" w:lineRule="auto"/>
            </w:pPr>
            <w:r>
              <w:rPr>
                <w:rFonts w:hint="eastAsia"/>
                <w:color w:val="000000" w:themeColor="text1"/>
                <w14:textFill>
                  <w14:solidFill>
                    <w14:schemeClr w14:val="tx1"/>
                  </w14:solidFill>
                </w14:textFill>
              </w:rPr>
              <w:t>采购人</w:t>
            </w:r>
            <w:r>
              <w:t>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pPr>
              <w:spacing w:line="360" w:lineRule="auto"/>
            </w:pPr>
            <w:r>
              <w:rPr>
                <w:rFonts w:hint="eastAsia"/>
              </w:rPr>
              <w:t xml:space="preserve">③ </w:t>
            </w:r>
            <w:r>
              <w:t>付款方式</w:t>
            </w:r>
          </w:p>
        </w:tc>
        <w:tc>
          <w:tcPr>
            <w:tcW w:w="6663" w:type="dxa"/>
          </w:tcPr>
          <w:p>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spacing w:line="360" w:lineRule="auto"/>
            </w:pPr>
            <w:r>
              <w:rPr>
                <w:rFonts w:hint="eastAsia"/>
              </w:rPr>
              <w:t xml:space="preserve">④ </w:t>
            </w:r>
            <w:r>
              <w:t>验收要求</w:t>
            </w:r>
          </w:p>
        </w:tc>
        <w:tc>
          <w:tcPr>
            <w:tcW w:w="6663" w:type="dxa"/>
          </w:tcPr>
          <w:p>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spacing w:line="360" w:lineRule="auto"/>
            </w:pPr>
            <w:r>
              <w:rPr>
                <w:rFonts w:hint="eastAsia"/>
              </w:rPr>
              <w:t xml:space="preserve">⑤ </w:t>
            </w:r>
            <w:r>
              <w:t>其他</w:t>
            </w:r>
            <w:r>
              <w:rPr>
                <w:rFonts w:hint="eastAsia"/>
              </w:rPr>
              <w:t>要求</w:t>
            </w:r>
          </w:p>
        </w:tc>
        <w:tc>
          <w:tcPr>
            <w:tcW w:w="6663" w:type="dxa"/>
          </w:tcPr>
          <w:p>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pPr>
              <w:spacing w:line="360" w:lineRule="auto"/>
              <w:jc w:val="left"/>
              <w:rPr>
                <w:bCs/>
                <w:szCs w:val="21"/>
              </w:rPr>
            </w:pPr>
            <w:r>
              <w:rPr>
                <w:rFonts w:hint="eastAsia"/>
                <w:bCs/>
                <w:szCs w:val="21"/>
              </w:rPr>
              <w:t>（3）承担设备首次计量校准费用。</w:t>
            </w:r>
          </w:p>
          <w:p>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pPr>
        <w:spacing w:line="360" w:lineRule="auto"/>
      </w:pPr>
    </w:p>
    <w:p>
      <w:pPr>
        <w:spacing w:line="360" w:lineRule="auto"/>
      </w:pPr>
    </w:p>
    <w:p>
      <w:pPr>
        <w:spacing w:line="360" w:lineRule="auto"/>
      </w:pPr>
    </w:p>
    <w:p>
      <w:pPr>
        <w:spacing w:line="48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项目</w:t>
      </w:r>
      <w:r>
        <w:rPr>
          <w:rFonts w:hint="eastAsia" w:ascii="方正小标宋简体" w:hAnsi="方正小标宋简体" w:eastAsia="方正小标宋简体" w:cs="方正小标宋简体"/>
          <w:bCs/>
          <w:sz w:val="36"/>
          <w:szCs w:val="36"/>
          <w:lang w:val="en-US" w:eastAsia="zh-CN"/>
        </w:rPr>
        <w:t>3</w:t>
      </w:r>
      <w:r>
        <w:rPr>
          <w:rFonts w:hint="eastAsia" w:ascii="方正小标宋简体" w:hAnsi="方正小标宋简体" w:eastAsia="方正小标宋简体" w:cs="方正小标宋简体"/>
          <w:bCs/>
          <w:sz w:val="36"/>
          <w:szCs w:val="36"/>
        </w:rPr>
        <w:t>：医疗设备项目（儿童悬吊康复训练系统1套）评分表</w:t>
      </w:r>
    </w:p>
    <w:tbl>
      <w:tblPr>
        <w:tblStyle w:val="9"/>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51"/>
        <w:gridCol w:w="1348"/>
        <w:gridCol w:w="4873"/>
        <w:gridCol w:w="931"/>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51" w:type="dxa"/>
            <w:shd w:val="clear" w:color="auto" w:fill="auto"/>
            <w:vAlign w:val="center"/>
          </w:tcPr>
          <w:p>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评分项目</w:t>
            </w:r>
          </w:p>
        </w:tc>
        <w:tc>
          <w:tcPr>
            <w:tcW w:w="1348" w:type="dxa"/>
            <w:shd w:val="clear" w:color="auto" w:fill="auto"/>
            <w:vAlign w:val="center"/>
          </w:tcPr>
          <w:p>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评标因素</w:t>
            </w:r>
          </w:p>
        </w:tc>
        <w:tc>
          <w:tcPr>
            <w:tcW w:w="4873" w:type="dxa"/>
            <w:shd w:val="clear" w:color="auto" w:fill="auto"/>
            <w:vAlign w:val="center"/>
          </w:tcPr>
          <w:p>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评分标准</w:t>
            </w:r>
          </w:p>
        </w:tc>
        <w:tc>
          <w:tcPr>
            <w:tcW w:w="931" w:type="dxa"/>
            <w:shd w:val="clear" w:color="auto" w:fill="auto"/>
            <w:vAlign w:val="center"/>
          </w:tcPr>
          <w:p>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分值</w:t>
            </w:r>
          </w:p>
        </w:tc>
        <w:tc>
          <w:tcPr>
            <w:tcW w:w="1075" w:type="dxa"/>
            <w:shd w:val="clear" w:color="auto" w:fill="auto"/>
            <w:vAlign w:val="center"/>
          </w:tcPr>
          <w:p>
            <w:pPr>
              <w:jc w:val="center"/>
              <w:rPr>
                <w:rFonts w:ascii="宋体" w:hAnsi="宋体"/>
                <w:bCs/>
                <w:sz w:val="18"/>
                <w:szCs w:val="18"/>
              </w:rPr>
            </w:pPr>
            <w:r>
              <w:rPr>
                <w:rFonts w:hint="eastAsia" w:ascii="宋体" w:hAnsi="宋体" w:cs="宋体"/>
                <w:b/>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restart"/>
            <w:vAlign w:val="center"/>
          </w:tcPr>
          <w:p>
            <w:pPr>
              <w:spacing w:line="300" w:lineRule="exact"/>
              <w:jc w:val="center"/>
              <w:rPr>
                <w:rFonts w:ascii="宋体" w:hAnsi="宋体" w:cs="宋体"/>
                <w:bCs/>
                <w:sz w:val="18"/>
                <w:szCs w:val="18"/>
              </w:rPr>
            </w:pPr>
            <w:r>
              <w:rPr>
                <w:rFonts w:hint="eastAsia" w:ascii="宋体" w:hAnsi="宋体" w:cs="宋体"/>
                <w:bCs/>
                <w:sz w:val="18"/>
                <w:szCs w:val="18"/>
              </w:rPr>
              <w:t>技术评分（</w:t>
            </w:r>
            <w:r>
              <w:rPr>
                <w:rFonts w:hint="eastAsia" w:ascii="宋体" w:hAnsi="宋体" w:cs="宋体"/>
                <w:bCs/>
                <w:sz w:val="18"/>
                <w:szCs w:val="18"/>
                <w:lang w:val="en-US" w:eastAsia="zh-CN"/>
              </w:rPr>
              <w:t>38</w:t>
            </w:r>
            <w:r>
              <w:rPr>
                <w:rFonts w:hint="eastAsia" w:ascii="宋体" w:hAnsi="宋体" w:cs="宋体"/>
                <w:bCs/>
                <w:sz w:val="18"/>
                <w:szCs w:val="18"/>
              </w:rPr>
              <w:t>分）</w:t>
            </w:r>
          </w:p>
          <w:p>
            <w:pPr>
              <w:spacing w:line="300" w:lineRule="exact"/>
              <w:jc w:val="center"/>
              <w:rPr>
                <w:rFonts w:ascii="宋体" w:hAnsi="宋体" w:cs="宋体"/>
                <w:bCs/>
                <w:sz w:val="18"/>
                <w:szCs w:val="18"/>
              </w:rPr>
            </w:pPr>
          </w:p>
        </w:tc>
        <w:tc>
          <w:tcPr>
            <w:tcW w:w="1348"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带“▲”号条款的重要性技术参数(24分)</w:t>
            </w: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根据各投标人对“采购需求” 中“具体技术(参数)要求” 带“▲”号的重要技术参数、要求的应响情况（共 3条）进行评审：对比各响应文件“▲”号的重要技术参数、要求，最高得24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24分</w:t>
            </w:r>
          </w:p>
        </w:tc>
        <w:tc>
          <w:tcPr>
            <w:tcW w:w="1075" w:type="dxa"/>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不带“▲”号条款的一般性技术参数（6分）</w:t>
            </w: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根据各投标人对“采购需求”中“具体技术(参数)要求”不带“▲”、“★”号的一般技术参数、要求的应响情况（2条）进行评审：对比各响应文件不带“▲”、“★”号的一般技术参数、要求，最高得6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未提供或者未按要求提供不得分】</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6分</w:t>
            </w:r>
          </w:p>
        </w:tc>
        <w:tc>
          <w:tcPr>
            <w:tcW w:w="1075" w:type="dxa"/>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Merge w:val="restart"/>
            <w:vAlign w:val="center"/>
          </w:tcPr>
          <w:p>
            <w:pPr>
              <w:spacing w:line="300" w:lineRule="exact"/>
              <w:jc w:val="center"/>
              <w:rPr>
                <w:rFonts w:ascii="宋体" w:hAnsi="宋体" w:cs="宋体"/>
                <w:bCs/>
                <w:sz w:val="18"/>
                <w:szCs w:val="18"/>
              </w:rPr>
            </w:pPr>
            <w:r>
              <w:rPr>
                <w:rFonts w:hint="eastAsia" w:ascii="宋体" w:hAnsi="宋体" w:cs="宋体"/>
                <w:bCs/>
                <w:sz w:val="18"/>
                <w:szCs w:val="18"/>
              </w:rPr>
              <w:t>采购项目技术特点（3分）</w:t>
            </w: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有专利性技术特点，或有行业先进技术特点。</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3分</w:t>
            </w:r>
          </w:p>
        </w:tc>
        <w:tc>
          <w:tcPr>
            <w:tcW w:w="1075" w:type="dxa"/>
            <w:vMerge w:val="restart"/>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Merge w:val="continue"/>
            <w:vAlign w:val="center"/>
          </w:tcPr>
          <w:p>
            <w:pPr>
              <w:spacing w:line="300" w:lineRule="exact"/>
              <w:jc w:val="center"/>
              <w:rPr>
                <w:rFonts w:ascii="宋体" w:hAnsi="宋体" w:cs="宋体"/>
                <w:bCs/>
                <w:sz w:val="18"/>
                <w:szCs w:val="18"/>
              </w:rPr>
            </w:pP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无相关技术特点。</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不得分</w:t>
            </w:r>
          </w:p>
        </w:tc>
        <w:tc>
          <w:tcPr>
            <w:tcW w:w="1075" w:type="dxa"/>
            <w:vMerge w:val="continue"/>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Merge w:val="restart"/>
            <w:vAlign w:val="center"/>
          </w:tcPr>
          <w:p>
            <w:pPr>
              <w:spacing w:line="300" w:lineRule="exact"/>
              <w:jc w:val="center"/>
              <w:rPr>
                <w:rFonts w:ascii="宋体" w:hAnsi="宋体" w:cs="宋体"/>
                <w:bCs/>
                <w:sz w:val="18"/>
                <w:szCs w:val="18"/>
              </w:rPr>
            </w:pPr>
            <w:r>
              <w:rPr>
                <w:rFonts w:hint="eastAsia" w:ascii="宋体" w:hAnsi="宋体" w:cs="宋体"/>
                <w:bCs/>
                <w:sz w:val="18"/>
                <w:szCs w:val="18"/>
              </w:rPr>
              <w:t>供货方案及安装调试、培训方案（5分）</w:t>
            </w: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供货方案、安装调试方案有明确的计划和步骤，保障措施详细、合理可行，培训方案具体、合理、可行。</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5分</w:t>
            </w:r>
          </w:p>
        </w:tc>
        <w:tc>
          <w:tcPr>
            <w:tcW w:w="1075" w:type="dxa"/>
            <w:vMerge w:val="restart"/>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Merge w:val="continue"/>
            <w:vAlign w:val="center"/>
          </w:tcPr>
          <w:p>
            <w:pPr>
              <w:spacing w:line="300" w:lineRule="exact"/>
              <w:jc w:val="center"/>
              <w:rPr>
                <w:rFonts w:ascii="宋体" w:hAnsi="宋体" w:cs="宋体"/>
                <w:bCs/>
                <w:sz w:val="18"/>
                <w:szCs w:val="18"/>
              </w:rPr>
            </w:pP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供货方案、安装调试方案有一定的可行性，培训方案内容完整、有一定可操作性。</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3分</w:t>
            </w:r>
          </w:p>
        </w:tc>
        <w:tc>
          <w:tcPr>
            <w:tcW w:w="1075" w:type="dxa"/>
            <w:vMerge w:val="continue"/>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Merge w:val="continue"/>
            <w:vAlign w:val="center"/>
          </w:tcPr>
          <w:p>
            <w:pPr>
              <w:spacing w:line="300" w:lineRule="exact"/>
              <w:jc w:val="center"/>
              <w:rPr>
                <w:rFonts w:ascii="宋体" w:hAnsi="宋体" w:cs="宋体"/>
                <w:bCs/>
                <w:sz w:val="18"/>
                <w:szCs w:val="18"/>
              </w:rPr>
            </w:pP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供货方案、安装调试方案、培训方案过于简单。</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1分</w:t>
            </w:r>
          </w:p>
        </w:tc>
        <w:tc>
          <w:tcPr>
            <w:tcW w:w="1075" w:type="dxa"/>
            <w:vMerge w:val="continue"/>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Merge w:val="continue"/>
            <w:vAlign w:val="center"/>
          </w:tcPr>
          <w:p>
            <w:pPr>
              <w:spacing w:line="300" w:lineRule="exact"/>
              <w:jc w:val="center"/>
              <w:rPr>
                <w:rFonts w:ascii="宋体" w:hAnsi="宋体" w:cs="宋体"/>
                <w:bCs/>
                <w:sz w:val="18"/>
                <w:szCs w:val="18"/>
              </w:rPr>
            </w:pP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没有提供方案。</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不得分</w:t>
            </w:r>
          </w:p>
        </w:tc>
        <w:tc>
          <w:tcPr>
            <w:tcW w:w="1075" w:type="dxa"/>
            <w:vMerge w:val="continue"/>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restart"/>
            <w:vAlign w:val="center"/>
          </w:tcPr>
          <w:p>
            <w:pPr>
              <w:spacing w:line="300" w:lineRule="exact"/>
              <w:rPr>
                <w:rFonts w:ascii="宋体" w:hAnsi="宋体" w:cs="宋体"/>
                <w:bCs/>
                <w:sz w:val="18"/>
                <w:szCs w:val="18"/>
              </w:rPr>
            </w:pPr>
          </w:p>
          <w:p>
            <w:pPr>
              <w:spacing w:line="300" w:lineRule="exact"/>
              <w:rPr>
                <w:rFonts w:ascii="宋体" w:hAnsi="宋体" w:cs="宋体"/>
                <w:bCs/>
                <w:sz w:val="18"/>
                <w:szCs w:val="18"/>
              </w:rPr>
            </w:pPr>
            <w:r>
              <w:rPr>
                <w:rFonts w:hint="eastAsia" w:ascii="宋体" w:hAnsi="宋体" w:cs="宋体"/>
                <w:bCs/>
                <w:sz w:val="18"/>
                <w:szCs w:val="18"/>
              </w:rPr>
              <w:t>商务评分（</w:t>
            </w:r>
            <w:r>
              <w:rPr>
                <w:rFonts w:hint="eastAsia" w:ascii="宋体" w:hAnsi="宋体" w:cs="宋体"/>
                <w:bCs/>
                <w:sz w:val="18"/>
                <w:szCs w:val="18"/>
                <w:lang w:val="en-US" w:eastAsia="zh-CN"/>
              </w:rPr>
              <w:t>32</w:t>
            </w:r>
            <w:bookmarkStart w:id="1" w:name="_GoBack"/>
            <w:bookmarkEnd w:id="1"/>
            <w:r>
              <w:rPr>
                <w:rFonts w:hint="eastAsia" w:ascii="宋体" w:hAnsi="宋体" w:cs="宋体"/>
                <w:bCs/>
                <w:sz w:val="18"/>
                <w:szCs w:val="18"/>
              </w:rPr>
              <w:t>分）</w:t>
            </w:r>
          </w:p>
        </w:tc>
        <w:tc>
          <w:tcPr>
            <w:tcW w:w="1348" w:type="dxa"/>
            <w:vMerge w:val="restart"/>
            <w:vAlign w:val="center"/>
          </w:tcPr>
          <w:p>
            <w:pPr>
              <w:spacing w:line="300" w:lineRule="exact"/>
              <w:rPr>
                <w:rFonts w:ascii="宋体" w:hAnsi="宋体" w:cs="宋体"/>
                <w:bCs/>
                <w:sz w:val="18"/>
                <w:szCs w:val="18"/>
              </w:rPr>
            </w:pPr>
          </w:p>
          <w:p>
            <w:pPr>
              <w:spacing w:line="300" w:lineRule="exact"/>
              <w:jc w:val="center"/>
              <w:rPr>
                <w:rFonts w:ascii="宋体" w:hAnsi="宋体" w:cs="宋体"/>
                <w:bCs/>
                <w:sz w:val="18"/>
                <w:szCs w:val="18"/>
              </w:rPr>
            </w:pPr>
            <w:r>
              <w:rPr>
                <w:rFonts w:hint="eastAsia" w:ascii="宋体" w:hAnsi="宋体" w:cs="宋体"/>
                <w:bCs/>
                <w:sz w:val="18"/>
                <w:szCs w:val="18"/>
              </w:rPr>
              <w:t>售后服务方案（10分）</w:t>
            </w: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售后服务方案具体详细、合理可行，为医院提供全面保障。</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10分</w:t>
            </w:r>
          </w:p>
        </w:tc>
        <w:tc>
          <w:tcPr>
            <w:tcW w:w="1075" w:type="dxa"/>
            <w:vMerge w:val="restart"/>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Merge w:val="continue"/>
            <w:vAlign w:val="center"/>
          </w:tcPr>
          <w:p>
            <w:pPr>
              <w:spacing w:line="300" w:lineRule="exact"/>
              <w:jc w:val="center"/>
              <w:rPr>
                <w:rFonts w:ascii="宋体" w:hAnsi="宋体" w:cs="宋体"/>
                <w:bCs/>
                <w:sz w:val="18"/>
                <w:szCs w:val="18"/>
              </w:rPr>
            </w:pP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售后服务方案有一定合理性、可行性，能为医院提供一定的保障。</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6分</w:t>
            </w:r>
          </w:p>
        </w:tc>
        <w:tc>
          <w:tcPr>
            <w:tcW w:w="1075" w:type="dxa"/>
            <w:vMerge w:val="continue"/>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Merge w:val="continue"/>
            <w:vAlign w:val="center"/>
          </w:tcPr>
          <w:p>
            <w:pPr>
              <w:spacing w:line="300" w:lineRule="exact"/>
              <w:jc w:val="center"/>
              <w:rPr>
                <w:rFonts w:ascii="宋体" w:hAnsi="宋体" w:cs="宋体"/>
                <w:bCs/>
                <w:sz w:val="18"/>
                <w:szCs w:val="18"/>
              </w:rPr>
            </w:pP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售后服务方案的合理性、可行性、保障性一般。</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2分</w:t>
            </w:r>
          </w:p>
        </w:tc>
        <w:tc>
          <w:tcPr>
            <w:tcW w:w="1075" w:type="dxa"/>
            <w:vMerge w:val="continue"/>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Merge w:val="continue"/>
            <w:vAlign w:val="center"/>
          </w:tcPr>
          <w:p>
            <w:pPr>
              <w:spacing w:line="300" w:lineRule="exact"/>
              <w:jc w:val="center"/>
              <w:rPr>
                <w:rFonts w:ascii="宋体" w:hAnsi="宋体" w:cs="宋体"/>
                <w:bCs/>
                <w:sz w:val="18"/>
                <w:szCs w:val="18"/>
              </w:rPr>
            </w:pP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没有提供售后服务方案或售后服务方案过于简单，无法为医院提供保障。</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不得分</w:t>
            </w:r>
          </w:p>
        </w:tc>
        <w:tc>
          <w:tcPr>
            <w:tcW w:w="1075" w:type="dxa"/>
            <w:vMerge w:val="continue"/>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Merge w:val="restart"/>
            <w:vAlign w:val="center"/>
          </w:tcPr>
          <w:p>
            <w:pPr>
              <w:spacing w:line="300" w:lineRule="exact"/>
              <w:jc w:val="center"/>
              <w:rPr>
                <w:rFonts w:ascii="宋体" w:hAnsi="宋体" w:cs="宋体"/>
                <w:bCs/>
                <w:sz w:val="18"/>
                <w:szCs w:val="18"/>
              </w:rPr>
            </w:pPr>
            <w:r>
              <w:rPr>
                <w:rFonts w:hint="eastAsia" w:ascii="宋体" w:hAnsi="宋体" w:cs="宋体"/>
                <w:bCs/>
                <w:sz w:val="18"/>
                <w:szCs w:val="18"/>
              </w:rPr>
              <w:t>保修期（10分）</w:t>
            </w: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整机保修每增加一年加1分，最高10分</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4-10 分</w:t>
            </w:r>
          </w:p>
        </w:tc>
        <w:tc>
          <w:tcPr>
            <w:tcW w:w="1075" w:type="dxa"/>
            <w:vMerge w:val="restart"/>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Merge w:val="continue"/>
            <w:vAlign w:val="center"/>
          </w:tcPr>
          <w:p>
            <w:pPr>
              <w:spacing w:line="300" w:lineRule="exact"/>
              <w:jc w:val="center"/>
              <w:rPr>
                <w:rFonts w:ascii="宋体" w:hAnsi="宋体" w:cs="宋体"/>
                <w:bCs/>
                <w:sz w:val="18"/>
                <w:szCs w:val="18"/>
              </w:rPr>
            </w:pP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整机保修3年。</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3分</w:t>
            </w:r>
          </w:p>
        </w:tc>
        <w:tc>
          <w:tcPr>
            <w:tcW w:w="1075" w:type="dxa"/>
            <w:vMerge w:val="continue"/>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设备使用年限（7分）</w:t>
            </w: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对比各投标产品使用年限，最高得7分。</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7分</w:t>
            </w:r>
          </w:p>
        </w:tc>
        <w:tc>
          <w:tcPr>
            <w:tcW w:w="1075" w:type="dxa"/>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商务要求响应情况（2分）</w:t>
            </w: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根据各投标人对“采购需求”中“2.主要商务要求”（共5项）的响应情况进行评审，最高得2分。</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2分</w:t>
            </w:r>
          </w:p>
        </w:tc>
        <w:tc>
          <w:tcPr>
            <w:tcW w:w="1075" w:type="dxa"/>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Merge w:val="restart"/>
            <w:vAlign w:val="center"/>
          </w:tcPr>
          <w:p>
            <w:pPr>
              <w:spacing w:line="300" w:lineRule="exact"/>
              <w:rPr>
                <w:rFonts w:ascii="宋体" w:hAnsi="宋体" w:cs="宋体"/>
                <w:bCs/>
                <w:sz w:val="18"/>
                <w:szCs w:val="18"/>
              </w:rPr>
            </w:pPr>
            <w:r>
              <w:rPr>
                <w:rFonts w:hint="eastAsia" w:ascii="宋体" w:hAnsi="宋体" w:cs="宋体"/>
                <w:bCs/>
                <w:sz w:val="18"/>
                <w:szCs w:val="18"/>
              </w:rPr>
              <w:t>同类产品业绩（3分）</w:t>
            </w: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对比各投标人2023年1月1日至今同类产品业绩，最高得3分。</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3分</w:t>
            </w:r>
          </w:p>
        </w:tc>
        <w:tc>
          <w:tcPr>
            <w:tcW w:w="1075" w:type="dxa"/>
            <w:vMerge w:val="restart"/>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Merge w:val="continue"/>
            <w:vAlign w:val="center"/>
          </w:tcPr>
          <w:p>
            <w:pPr>
              <w:spacing w:line="300" w:lineRule="exact"/>
              <w:jc w:val="center"/>
              <w:rPr>
                <w:rFonts w:ascii="宋体" w:hAnsi="宋体" w:cs="宋体"/>
                <w:bCs/>
                <w:sz w:val="18"/>
                <w:szCs w:val="18"/>
              </w:rPr>
            </w:pP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2023年1月1日至今无同类产品业绩。</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不得分</w:t>
            </w:r>
          </w:p>
        </w:tc>
        <w:tc>
          <w:tcPr>
            <w:tcW w:w="1075" w:type="dxa"/>
            <w:vMerge w:val="continue"/>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价格评分（30分）</w:t>
            </w:r>
          </w:p>
        </w:tc>
        <w:tc>
          <w:tcPr>
            <w:tcW w:w="6221" w:type="dxa"/>
            <w:gridSpan w:val="2"/>
            <w:vAlign w:val="center"/>
          </w:tcPr>
          <w:p>
            <w:pPr>
              <w:spacing w:line="300" w:lineRule="exact"/>
              <w:jc w:val="center"/>
              <w:rPr>
                <w:rFonts w:ascii="宋体" w:hAnsi="宋体" w:cs="宋体"/>
                <w:bCs/>
                <w:sz w:val="18"/>
                <w:szCs w:val="18"/>
              </w:rPr>
            </w:pPr>
            <w:r>
              <w:rPr>
                <w:rFonts w:hint="eastAsia" w:ascii="宋体" w:hAnsi="宋体" w:cs="宋体"/>
                <w:bCs/>
                <w:sz w:val="18"/>
                <w:szCs w:val="18"/>
              </w:rPr>
              <w:t>价格得分=（最低投标价/被评分供应商投标价）×30</w:t>
            </w:r>
          </w:p>
          <w:p>
            <w:pPr>
              <w:spacing w:line="300" w:lineRule="exact"/>
              <w:jc w:val="center"/>
              <w:rPr>
                <w:rFonts w:ascii="宋体" w:hAnsi="宋体" w:cs="宋体"/>
                <w:bCs/>
                <w:sz w:val="18"/>
                <w:szCs w:val="18"/>
              </w:rPr>
            </w:pPr>
            <w:r>
              <w:rPr>
                <w:rFonts w:hint="eastAsia" w:ascii="宋体" w:hAnsi="宋体" w:cs="宋体"/>
                <w:bCs/>
                <w:sz w:val="18"/>
                <w:szCs w:val="18"/>
              </w:rPr>
              <w:t>（此项统一由采购办计算）</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30分</w:t>
            </w:r>
          </w:p>
        </w:tc>
        <w:tc>
          <w:tcPr>
            <w:tcW w:w="1075" w:type="dxa"/>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03" w:type="dxa"/>
            <w:gridSpan w:val="4"/>
            <w:vAlign w:val="center"/>
          </w:tcPr>
          <w:p>
            <w:pPr>
              <w:spacing w:line="300" w:lineRule="exact"/>
              <w:jc w:val="center"/>
              <w:rPr>
                <w:rFonts w:ascii="宋体" w:hAnsi="宋体" w:cs="宋体"/>
                <w:bCs/>
                <w:sz w:val="18"/>
                <w:szCs w:val="18"/>
              </w:rPr>
            </w:pPr>
            <w:r>
              <w:rPr>
                <w:rFonts w:hint="eastAsia" w:ascii="宋体" w:hAnsi="宋体" w:cs="宋体"/>
                <w:b/>
                <w:sz w:val="24"/>
              </w:rPr>
              <w:t>合计</w:t>
            </w:r>
          </w:p>
        </w:tc>
        <w:tc>
          <w:tcPr>
            <w:tcW w:w="1075" w:type="dxa"/>
            <w:vAlign w:val="center"/>
          </w:tcPr>
          <w:p>
            <w:pPr>
              <w:spacing w:line="300" w:lineRule="exact"/>
              <w:jc w:val="center"/>
              <w:rPr>
                <w:rFonts w:ascii="宋体" w:hAnsi="宋体" w:cs="宋体"/>
                <w:bCs/>
                <w:sz w:val="18"/>
                <w:szCs w:val="18"/>
              </w:rPr>
            </w:pPr>
          </w:p>
        </w:tc>
      </w:tr>
    </w:tbl>
    <w:p>
      <w:pPr>
        <w:rPr>
          <w:rFonts w:ascii="宋体" w:hAnsi="宋体"/>
          <w:b/>
          <w:sz w:val="28"/>
          <w:szCs w:val="28"/>
        </w:rPr>
      </w:pPr>
    </w:p>
    <w:p>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43EF5"/>
    <w:rsid w:val="00070DD7"/>
    <w:rsid w:val="0008595D"/>
    <w:rsid w:val="000A2591"/>
    <w:rsid w:val="000C2191"/>
    <w:rsid w:val="000C2559"/>
    <w:rsid w:val="000C7E78"/>
    <w:rsid w:val="000F2543"/>
    <w:rsid w:val="000F2734"/>
    <w:rsid w:val="000F75BA"/>
    <w:rsid w:val="00140B25"/>
    <w:rsid w:val="001A350B"/>
    <w:rsid w:val="001B20EF"/>
    <w:rsid w:val="001C10CE"/>
    <w:rsid w:val="001D52B0"/>
    <w:rsid w:val="001D5C7E"/>
    <w:rsid w:val="001F4128"/>
    <w:rsid w:val="00232E4B"/>
    <w:rsid w:val="002404B3"/>
    <w:rsid w:val="00260911"/>
    <w:rsid w:val="002C2158"/>
    <w:rsid w:val="003031D2"/>
    <w:rsid w:val="0030337B"/>
    <w:rsid w:val="00311E7F"/>
    <w:rsid w:val="00353A1C"/>
    <w:rsid w:val="00355391"/>
    <w:rsid w:val="00392AD1"/>
    <w:rsid w:val="003A1C57"/>
    <w:rsid w:val="003B5BBD"/>
    <w:rsid w:val="003C700F"/>
    <w:rsid w:val="003E33C7"/>
    <w:rsid w:val="004271D6"/>
    <w:rsid w:val="00430231"/>
    <w:rsid w:val="0045573B"/>
    <w:rsid w:val="004901B0"/>
    <w:rsid w:val="004B727D"/>
    <w:rsid w:val="004D533E"/>
    <w:rsid w:val="004F127F"/>
    <w:rsid w:val="004F3F45"/>
    <w:rsid w:val="00502107"/>
    <w:rsid w:val="005024DE"/>
    <w:rsid w:val="00510DE3"/>
    <w:rsid w:val="00543040"/>
    <w:rsid w:val="005441B4"/>
    <w:rsid w:val="0054509D"/>
    <w:rsid w:val="005B6097"/>
    <w:rsid w:val="005E2E53"/>
    <w:rsid w:val="005E7652"/>
    <w:rsid w:val="00647249"/>
    <w:rsid w:val="00657FAD"/>
    <w:rsid w:val="0067283E"/>
    <w:rsid w:val="006A6624"/>
    <w:rsid w:val="006C3B09"/>
    <w:rsid w:val="006D0AA5"/>
    <w:rsid w:val="00723790"/>
    <w:rsid w:val="007756FD"/>
    <w:rsid w:val="007A06CF"/>
    <w:rsid w:val="007B79E4"/>
    <w:rsid w:val="007C7D9B"/>
    <w:rsid w:val="007D7C66"/>
    <w:rsid w:val="007E2963"/>
    <w:rsid w:val="00811633"/>
    <w:rsid w:val="00812DF4"/>
    <w:rsid w:val="00814C7F"/>
    <w:rsid w:val="008301C7"/>
    <w:rsid w:val="008467A8"/>
    <w:rsid w:val="008B7CE7"/>
    <w:rsid w:val="008C01AA"/>
    <w:rsid w:val="008C2B2E"/>
    <w:rsid w:val="008F0B96"/>
    <w:rsid w:val="0090666E"/>
    <w:rsid w:val="00915B76"/>
    <w:rsid w:val="009536CE"/>
    <w:rsid w:val="00965EA1"/>
    <w:rsid w:val="00971E56"/>
    <w:rsid w:val="0098133A"/>
    <w:rsid w:val="0099004C"/>
    <w:rsid w:val="009967B2"/>
    <w:rsid w:val="009A5096"/>
    <w:rsid w:val="009B1881"/>
    <w:rsid w:val="009C06ED"/>
    <w:rsid w:val="00A2387F"/>
    <w:rsid w:val="00A41983"/>
    <w:rsid w:val="00AB5A5A"/>
    <w:rsid w:val="00AC2AAE"/>
    <w:rsid w:val="00AD0C59"/>
    <w:rsid w:val="00AE18BB"/>
    <w:rsid w:val="00AE7A63"/>
    <w:rsid w:val="00AF0FE7"/>
    <w:rsid w:val="00B0212A"/>
    <w:rsid w:val="00B15BC2"/>
    <w:rsid w:val="00B51D64"/>
    <w:rsid w:val="00B54242"/>
    <w:rsid w:val="00B631E1"/>
    <w:rsid w:val="00BA2AD8"/>
    <w:rsid w:val="00BC72F0"/>
    <w:rsid w:val="00BD4999"/>
    <w:rsid w:val="00C30EC5"/>
    <w:rsid w:val="00C74D09"/>
    <w:rsid w:val="00CC3F01"/>
    <w:rsid w:val="00CE35EB"/>
    <w:rsid w:val="00CF72DC"/>
    <w:rsid w:val="00D00FE5"/>
    <w:rsid w:val="00D049EF"/>
    <w:rsid w:val="00D1694B"/>
    <w:rsid w:val="00D2439D"/>
    <w:rsid w:val="00D32C33"/>
    <w:rsid w:val="00D548CE"/>
    <w:rsid w:val="00D54911"/>
    <w:rsid w:val="00D55C95"/>
    <w:rsid w:val="00D727CB"/>
    <w:rsid w:val="00D74460"/>
    <w:rsid w:val="00D8671A"/>
    <w:rsid w:val="00DB7160"/>
    <w:rsid w:val="00DE3C72"/>
    <w:rsid w:val="00E06D6A"/>
    <w:rsid w:val="00E160E1"/>
    <w:rsid w:val="00E36425"/>
    <w:rsid w:val="00E63EF0"/>
    <w:rsid w:val="00E749A3"/>
    <w:rsid w:val="00E76FC9"/>
    <w:rsid w:val="00E87C42"/>
    <w:rsid w:val="00E9534F"/>
    <w:rsid w:val="00EC4A4C"/>
    <w:rsid w:val="00F0111E"/>
    <w:rsid w:val="00F06225"/>
    <w:rsid w:val="00F7023F"/>
    <w:rsid w:val="00F72C24"/>
    <w:rsid w:val="00F86435"/>
    <w:rsid w:val="00F868EC"/>
    <w:rsid w:val="00FB74F6"/>
    <w:rsid w:val="00FC6EFF"/>
    <w:rsid w:val="00FD5CEA"/>
    <w:rsid w:val="00FE169A"/>
    <w:rsid w:val="07837370"/>
    <w:rsid w:val="14212297"/>
    <w:rsid w:val="1F9B1C69"/>
    <w:rsid w:val="264B4271"/>
    <w:rsid w:val="26584BBF"/>
    <w:rsid w:val="3DFD26B4"/>
    <w:rsid w:val="49FE24F4"/>
    <w:rsid w:val="4ED14431"/>
    <w:rsid w:val="4FCA0B10"/>
    <w:rsid w:val="5D720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4"/>
    <w:semiHidden/>
    <w:unhideWhenUsed/>
    <w:uiPriority w:val="99"/>
    <w:pPr>
      <w:spacing w:after="120"/>
      <w:ind w:left="420" w:leftChars="200"/>
    </w:pPr>
  </w:style>
  <w:style w:type="paragraph" w:styleId="3">
    <w:name w:val="Balloon Text"/>
    <w:basedOn w:val="1"/>
    <w:link w:val="16"/>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uiPriority w:val="99"/>
    <w:rPr>
      <w:color w:val="0000FF"/>
      <w:u w:val="single"/>
    </w:rPr>
  </w:style>
  <w:style w:type="character" w:customStyle="1" w:styleId="12">
    <w:name w:val="页眉 Char"/>
    <w:basedOn w:val="10"/>
    <w:link w:val="5"/>
    <w:uiPriority w:val="99"/>
    <w:rPr>
      <w:sz w:val="18"/>
      <w:szCs w:val="18"/>
    </w:rPr>
  </w:style>
  <w:style w:type="character" w:customStyle="1" w:styleId="13">
    <w:name w:val="页脚 Char"/>
    <w:basedOn w:val="10"/>
    <w:link w:val="4"/>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qFormat/>
    <w:uiPriority w:val="99"/>
    <w:rPr>
      <w:sz w:val="18"/>
      <w:szCs w:val="18"/>
    </w:rPr>
  </w:style>
  <w:style w:type="paragraph" w:styleId="17">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3757</Words>
  <Characters>3849</Characters>
  <Lines>20</Lines>
  <Paragraphs>5</Paragraphs>
  <TotalTime>0</TotalTime>
  <ScaleCrop>false</ScaleCrop>
  <LinksUpToDate>false</LinksUpToDate>
  <CharactersWithSpaces>3864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2025-10-17T07:20:00Z</dcterms:created>
  <dc:creator>何烷桦</dc:creator>
  <cp:lastModifiedBy>张小霞</cp:lastModifiedBy>
  <dcterms:modified xsi:type="dcterms:W3CDTF">2025-11-10T08:12:00Z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BB8E0EF63A7B47228E6419AE6987C594_12</vt:lpwstr>
  </property>
</Properties>
</file>