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ABDF3">
      <w:pPr>
        <w:spacing w:line="360" w:lineRule="auto"/>
        <w:jc w:val="left"/>
        <w:rPr>
          <w:rFonts w:hint="default" w:ascii="宋体" w:hAnsi="宋体" w:cs="宋体"/>
          <w:b/>
          <w:sz w:val="36"/>
          <w:szCs w:val="36"/>
          <w:lang w:val="en-US" w:eastAsia="zh-CN"/>
        </w:rPr>
      </w:pPr>
      <w:bookmarkStart w:id="25" w:name="_GoBack"/>
      <w:bookmarkEnd w:id="25"/>
      <w:r>
        <w:rPr>
          <w:rFonts w:hint="eastAsia" w:ascii="宋体" w:hAnsi="宋体" w:cs="宋体"/>
          <w:b/>
          <w:sz w:val="36"/>
          <w:szCs w:val="36"/>
          <w:lang w:val="en-US" w:eastAsia="zh-CN"/>
        </w:rPr>
        <w:t>附件1</w:t>
      </w:r>
    </w:p>
    <w:p w14:paraId="5E069825">
      <w:pPr>
        <w:spacing w:line="360" w:lineRule="auto"/>
        <w:jc w:val="center"/>
        <w:rPr>
          <w:rFonts w:hint="eastAsia" w:ascii="宋体" w:hAnsi="宋体" w:cs="宋体"/>
          <w:b/>
          <w:sz w:val="36"/>
          <w:szCs w:val="36"/>
          <w:lang w:val="en-US" w:eastAsia="zh-CN"/>
        </w:rPr>
      </w:pPr>
    </w:p>
    <w:p w14:paraId="4862C27F">
      <w:pPr>
        <w:spacing w:line="360" w:lineRule="auto"/>
        <w:jc w:val="center"/>
        <w:rPr>
          <w:rFonts w:ascii="宋体" w:hAnsi="宋体" w:cs="宋体"/>
          <w:b/>
          <w:sz w:val="36"/>
          <w:szCs w:val="36"/>
        </w:rPr>
      </w:pPr>
      <w:r>
        <w:rPr>
          <w:rFonts w:hint="eastAsia" w:ascii="宋体" w:hAnsi="宋体" w:cs="宋体"/>
          <w:b/>
          <w:sz w:val="36"/>
          <w:szCs w:val="36"/>
          <w:lang w:val="en-US" w:eastAsia="zh-CN"/>
        </w:rPr>
        <w:t>江门市妇幼保健院</w:t>
      </w:r>
      <w:r>
        <w:rPr>
          <w:rFonts w:hint="eastAsia" w:ascii="宋体" w:hAnsi="宋体" w:cs="宋体"/>
          <w:b/>
          <w:sz w:val="36"/>
          <w:szCs w:val="36"/>
        </w:rPr>
        <w:t>202</w:t>
      </w:r>
      <w:r>
        <w:rPr>
          <w:rFonts w:hint="eastAsia" w:ascii="宋体" w:hAnsi="宋体" w:cs="宋体"/>
          <w:b/>
          <w:sz w:val="36"/>
          <w:szCs w:val="36"/>
          <w:lang w:val="en-US" w:eastAsia="zh-CN"/>
        </w:rPr>
        <w:t>5</w:t>
      </w:r>
      <w:r>
        <w:rPr>
          <w:rFonts w:hint="eastAsia" w:ascii="宋体" w:hAnsi="宋体" w:cs="宋体"/>
          <w:b/>
          <w:sz w:val="36"/>
          <w:szCs w:val="36"/>
        </w:rPr>
        <w:t>年信息系统等级保护测评项目采购需求</w:t>
      </w:r>
    </w:p>
    <w:p w14:paraId="720C9D62">
      <w:pPr>
        <w:pStyle w:val="2"/>
        <w:spacing w:line="360" w:lineRule="auto"/>
        <w:rPr>
          <w:rFonts w:hint="eastAsia" w:ascii="宋体" w:hAnsi="宋体" w:eastAsia="宋体" w:cs="宋体"/>
          <w:sz w:val="24"/>
          <w:szCs w:val="24"/>
        </w:rPr>
      </w:pPr>
      <w:r>
        <w:rPr>
          <w:rFonts w:hint="eastAsia" w:ascii="宋体" w:hAnsi="宋体" w:eastAsia="宋体" w:cs="宋体"/>
          <w:sz w:val="24"/>
          <w:szCs w:val="24"/>
        </w:rPr>
        <w:t>总体要求</w:t>
      </w:r>
    </w:p>
    <w:p w14:paraId="59DE779E">
      <w:pPr>
        <w:numPr>
          <w:ilvl w:val="0"/>
          <w:numId w:val="0"/>
        </w:numPr>
        <w:tabs>
          <w:tab w:val="left" w:pos="0"/>
        </w:tabs>
        <w:spacing w:line="360" w:lineRule="auto"/>
        <w:ind w:left="420" w:leftChars="0"/>
        <w:rPr>
          <w:rFonts w:hint="eastAsia" w:ascii="宋体" w:hAnsi="宋体" w:cs="宋体"/>
          <w:sz w:val="24"/>
          <w:szCs w:val="24"/>
          <w:lang w:eastAsia="zh-CN"/>
        </w:rPr>
      </w:pPr>
      <w:r>
        <w:rPr>
          <w:rFonts w:hint="eastAsia" w:ascii="宋体" w:hAnsi="宋体" w:cs="宋体"/>
          <w:sz w:val="24"/>
          <w:szCs w:val="24"/>
          <w:lang w:val="en-US" w:eastAsia="zh-CN"/>
        </w:rPr>
        <w:t xml:space="preserve">1. </w:t>
      </w:r>
      <w:r>
        <w:rPr>
          <w:rFonts w:hint="eastAsia" w:ascii="宋体" w:hAnsi="宋体" w:eastAsia="宋体" w:cs="宋体"/>
          <w:sz w:val="24"/>
          <w:szCs w:val="24"/>
        </w:rPr>
        <w:t>供应商需出具承诺函，</w:t>
      </w:r>
      <w:r>
        <w:rPr>
          <w:rFonts w:hint="eastAsia" w:ascii="宋体" w:hAnsi="宋体" w:eastAsia="宋体" w:cs="宋体"/>
          <w:i w:val="0"/>
          <w:iCs w:val="0"/>
          <w:color w:val="000000"/>
          <w:kern w:val="0"/>
          <w:sz w:val="24"/>
          <w:szCs w:val="24"/>
          <w:u w:val="none"/>
          <w:lang w:val="en-US" w:eastAsia="zh-CN" w:bidi="ar"/>
        </w:rPr>
        <w:t>承诺结合《风险梳理整改建议》协助及参与医院开展全面的整改工作，直至系统通过等级保护测评</w:t>
      </w:r>
      <w:r>
        <w:rPr>
          <w:rFonts w:hint="eastAsia" w:ascii="宋体" w:hAnsi="宋体" w:eastAsia="宋体" w:cs="宋体"/>
          <w:sz w:val="24"/>
          <w:szCs w:val="24"/>
        </w:rPr>
        <w:t>（格式自订）</w:t>
      </w:r>
      <w:r>
        <w:rPr>
          <w:rFonts w:hint="eastAsia" w:ascii="宋体" w:hAnsi="宋体" w:cs="宋体"/>
          <w:sz w:val="24"/>
          <w:szCs w:val="24"/>
          <w:lang w:eastAsia="zh-CN"/>
        </w:rPr>
        <w:t>；</w:t>
      </w:r>
    </w:p>
    <w:p w14:paraId="178C1B8F">
      <w:pPr>
        <w:numPr>
          <w:ilvl w:val="0"/>
          <w:numId w:val="0"/>
        </w:numPr>
        <w:tabs>
          <w:tab w:val="left" w:pos="0"/>
        </w:tabs>
        <w:spacing w:line="360" w:lineRule="auto"/>
        <w:ind w:left="420" w:leftChars="0"/>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2. </w:t>
      </w:r>
      <w:r>
        <w:rPr>
          <w:rFonts w:hint="eastAsia" w:ascii="宋体" w:hAnsi="宋体" w:eastAsia="宋体" w:cs="宋体"/>
          <w:sz w:val="24"/>
          <w:szCs w:val="24"/>
        </w:rPr>
        <w:t>供应商需出具承诺函，承诺</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eastAsia="宋体" w:cs="宋体"/>
          <w:sz w:val="24"/>
          <w:szCs w:val="24"/>
        </w:rPr>
        <w:t>内完成信息系统等级测评</w:t>
      </w:r>
      <w:r>
        <w:rPr>
          <w:rFonts w:hint="eastAsia" w:ascii="宋体" w:hAnsi="宋体" w:eastAsia="宋体" w:cs="宋体"/>
          <w:sz w:val="24"/>
          <w:szCs w:val="24"/>
          <w:lang w:val="en-US" w:eastAsia="zh-CN"/>
        </w:rPr>
        <w:t>,</w:t>
      </w:r>
      <w:r>
        <w:rPr>
          <w:rFonts w:hint="eastAsia" w:ascii="宋体" w:hAnsi="宋体" w:eastAsia="宋体" w:cs="宋体"/>
          <w:sz w:val="24"/>
          <w:szCs w:val="24"/>
        </w:rPr>
        <w:t>并将最终的《信息系统等级测评报告》提交至江门市公安局网安支队进行备案（格式自订）</w:t>
      </w:r>
      <w:r>
        <w:rPr>
          <w:rFonts w:hint="eastAsia" w:ascii="宋体" w:hAnsi="宋体" w:cs="宋体"/>
          <w:sz w:val="24"/>
          <w:szCs w:val="24"/>
          <w:lang w:eastAsia="zh-CN"/>
        </w:rPr>
        <w:t>；</w:t>
      </w:r>
    </w:p>
    <w:p w14:paraId="3F97F124">
      <w:pPr>
        <w:numPr>
          <w:ilvl w:val="0"/>
          <w:numId w:val="0"/>
        </w:numPr>
        <w:tabs>
          <w:tab w:val="left" w:pos="0"/>
        </w:tabs>
        <w:spacing w:line="360" w:lineRule="auto"/>
        <w:ind w:left="420" w:leftChars="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响应供应商应保证，采购人在中华人民共和国使用该服务或服务的任何一部分时，免受第三方提出的侵犯其专利权、商标权、著作权或其它知识产权的起诉。</w:t>
      </w:r>
    </w:p>
    <w:p w14:paraId="45B083D1">
      <w:pPr>
        <w:pStyle w:val="2"/>
        <w:spacing w:line="360" w:lineRule="auto"/>
        <w:rPr>
          <w:rFonts w:hint="eastAsia" w:ascii="宋体" w:hAnsi="宋体" w:eastAsia="宋体" w:cs="宋体"/>
          <w:sz w:val="24"/>
          <w:szCs w:val="24"/>
        </w:rPr>
      </w:pPr>
      <w:r>
        <w:rPr>
          <w:rFonts w:hint="eastAsia" w:ascii="宋体" w:hAnsi="宋体" w:eastAsia="宋体" w:cs="宋体"/>
          <w:sz w:val="24"/>
          <w:szCs w:val="24"/>
        </w:rPr>
        <w:t>投标报价说明</w:t>
      </w:r>
    </w:p>
    <w:p w14:paraId="35556749">
      <w:pPr>
        <w:pStyle w:val="11"/>
        <w:spacing w:line="360" w:lineRule="auto"/>
        <w:ind w:firstLine="480"/>
        <w:rPr>
          <w:rFonts w:hint="eastAsia" w:ascii="宋体" w:hAnsi="宋体" w:eastAsia="宋体" w:cs="宋体"/>
          <w:color w:val="FF0000"/>
          <w:sz w:val="24"/>
          <w:szCs w:val="24"/>
          <w:lang w:val="zh-CN"/>
        </w:rPr>
      </w:pPr>
      <w:r>
        <w:rPr>
          <w:rFonts w:hint="eastAsia" w:ascii="宋体" w:hAnsi="宋体" w:eastAsia="宋体" w:cs="宋体"/>
          <w:sz w:val="24"/>
          <w:szCs w:val="24"/>
          <w:lang w:val="zh-CN"/>
        </w:rPr>
        <w:t>报价方式为广东省江门市目的地交付验收价，均涵盖报价要求之一切费用。报价中必须包含完成所有等级保护综合服务及合同条款所规定的工作内容的各项费用，应包括人工、设备、工具、项目管理、场地踏勘、维护服务、利润、税金、合同实施过程中的应预见和不可预见费用等，报价中漏报、少报的费用，视为此项费用已隐含在响应报价中，成交后不得再向采购人收取任何费用。</w:t>
      </w:r>
    </w:p>
    <w:p w14:paraId="607BDE8C">
      <w:pPr>
        <w:pStyle w:val="2"/>
        <w:spacing w:line="360" w:lineRule="auto"/>
        <w:rPr>
          <w:rFonts w:hint="eastAsia" w:ascii="宋体" w:hAnsi="宋体" w:eastAsia="宋体" w:cs="宋体"/>
          <w:sz w:val="24"/>
          <w:szCs w:val="24"/>
        </w:rPr>
      </w:pPr>
      <w:bookmarkStart w:id="0" w:name="_Toc28527"/>
      <w:r>
        <w:rPr>
          <w:rFonts w:hint="eastAsia" w:ascii="宋体" w:hAnsi="宋体" w:eastAsia="宋体" w:cs="宋体"/>
          <w:sz w:val="24"/>
          <w:szCs w:val="24"/>
        </w:rPr>
        <w:t>项目需求</w:t>
      </w:r>
      <w:bookmarkEnd w:id="0"/>
    </w:p>
    <w:p w14:paraId="72B46898">
      <w:pPr>
        <w:pStyle w:val="3"/>
        <w:spacing w:line="360" w:lineRule="auto"/>
        <w:rPr>
          <w:rFonts w:hint="eastAsia" w:ascii="宋体" w:hAnsi="宋体" w:eastAsia="宋体" w:cs="宋体"/>
          <w:sz w:val="24"/>
          <w:szCs w:val="24"/>
        </w:rPr>
      </w:pPr>
      <w:bookmarkStart w:id="1" w:name="_Toc3979"/>
      <w:r>
        <w:rPr>
          <w:rFonts w:hint="eastAsia" w:ascii="宋体" w:hAnsi="宋体" w:eastAsia="宋体" w:cs="宋体"/>
          <w:sz w:val="24"/>
          <w:szCs w:val="24"/>
        </w:rPr>
        <w:t>项目概况</w:t>
      </w:r>
      <w:bookmarkEnd w:id="1"/>
    </w:p>
    <w:p w14:paraId="555CF12B">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随着信息化程度的越来越普及，而且国内外信息安全形式非常严峻，结合国家信息安全等级保护的安全要求，同时根据《网络安全法》及相关网络安全文件的要求，为保障所有服务器系统和各类应用系统的安全稳定运行，同时响应公安部门提出的进行信息系统安全等级保护建设工作的要求，拟通过第三方专业安全公司提供先进的、专业的安全服务，对整体系统进行全面、动态的等保合规综合服务工作，时刻保障业务系统信息安全。</w:t>
      </w:r>
    </w:p>
    <w:p w14:paraId="7CE741D3">
      <w:pPr>
        <w:pStyle w:val="3"/>
        <w:spacing w:line="360" w:lineRule="auto"/>
        <w:rPr>
          <w:rFonts w:hint="eastAsia" w:ascii="宋体" w:hAnsi="宋体" w:eastAsia="宋体" w:cs="宋体"/>
          <w:sz w:val="24"/>
          <w:szCs w:val="24"/>
        </w:rPr>
      </w:pPr>
      <w:bookmarkStart w:id="2" w:name="_Toc29238"/>
      <w:r>
        <w:rPr>
          <w:rFonts w:hint="eastAsia" w:ascii="宋体" w:hAnsi="宋体" w:eastAsia="宋体" w:cs="宋体"/>
          <w:sz w:val="24"/>
          <w:szCs w:val="24"/>
        </w:rPr>
        <w:t>项目服务范围</w:t>
      </w:r>
      <w:bookmarkEnd w:id="2"/>
    </w:p>
    <w:p w14:paraId="0D0A357E">
      <w:pPr>
        <w:spacing w:line="360" w:lineRule="auto"/>
        <w:ind w:left="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项目</w:t>
      </w:r>
      <w:r>
        <w:rPr>
          <w:rFonts w:hint="eastAsia" w:ascii="宋体" w:hAnsi="宋体" w:eastAsia="宋体" w:cs="宋体"/>
          <w:color w:val="000000"/>
          <w:kern w:val="0"/>
          <w:sz w:val="24"/>
          <w:szCs w:val="24"/>
        </w:rPr>
        <w:t>系统清单</w:t>
      </w:r>
    </w:p>
    <w:tbl>
      <w:tblPr>
        <w:tblStyle w:val="18"/>
        <w:tblW w:w="8724" w:type="dxa"/>
        <w:jc w:val="center"/>
        <w:tblLayout w:type="fixed"/>
        <w:tblCellMar>
          <w:top w:w="0" w:type="dxa"/>
          <w:left w:w="108" w:type="dxa"/>
          <w:bottom w:w="0" w:type="dxa"/>
          <w:right w:w="108" w:type="dxa"/>
        </w:tblCellMar>
      </w:tblPr>
      <w:tblGrid>
        <w:gridCol w:w="866"/>
        <w:gridCol w:w="5245"/>
        <w:gridCol w:w="1417"/>
        <w:gridCol w:w="1196"/>
      </w:tblGrid>
      <w:tr w14:paraId="2CD8534F">
        <w:tblPrEx>
          <w:tblCellMar>
            <w:top w:w="0" w:type="dxa"/>
            <w:left w:w="108" w:type="dxa"/>
            <w:bottom w:w="0" w:type="dxa"/>
            <w:right w:w="108" w:type="dxa"/>
          </w:tblCellMar>
        </w:tblPrEx>
        <w:trPr>
          <w:trHeight w:val="454"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vAlign w:val="center"/>
          </w:tcPr>
          <w:p w14:paraId="57815B6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5245" w:type="dxa"/>
            <w:tcBorders>
              <w:top w:val="single" w:color="auto" w:sz="4" w:space="0"/>
              <w:left w:val="nil"/>
              <w:bottom w:val="single" w:color="auto" w:sz="4" w:space="0"/>
              <w:right w:val="single" w:color="auto" w:sz="4" w:space="0"/>
            </w:tcBorders>
            <w:shd w:val="clear" w:color="000000" w:fill="FFFFFF"/>
            <w:vAlign w:val="center"/>
          </w:tcPr>
          <w:p w14:paraId="7B389E7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系统名称</w:t>
            </w:r>
          </w:p>
        </w:tc>
        <w:tc>
          <w:tcPr>
            <w:tcW w:w="1417" w:type="dxa"/>
            <w:tcBorders>
              <w:top w:val="single" w:color="auto" w:sz="4" w:space="0"/>
              <w:left w:val="nil"/>
              <w:bottom w:val="single" w:color="auto" w:sz="4" w:space="0"/>
              <w:right w:val="single" w:color="auto" w:sz="4" w:space="0"/>
            </w:tcBorders>
            <w:shd w:val="clear" w:color="000000" w:fill="FFFFFF"/>
            <w:vAlign w:val="center"/>
          </w:tcPr>
          <w:p w14:paraId="4020B89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测评级别</w:t>
            </w:r>
          </w:p>
        </w:tc>
        <w:tc>
          <w:tcPr>
            <w:tcW w:w="1196" w:type="dxa"/>
            <w:tcBorders>
              <w:top w:val="single" w:color="auto" w:sz="4" w:space="0"/>
              <w:left w:val="nil"/>
              <w:bottom w:val="single" w:color="auto" w:sz="4" w:space="0"/>
              <w:right w:val="single" w:color="auto" w:sz="4" w:space="0"/>
            </w:tcBorders>
            <w:shd w:val="clear" w:color="000000" w:fill="FFFFFF"/>
            <w:vAlign w:val="center"/>
          </w:tcPr>
          <w:p w14:paraId="502382E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内外网</w:t>
            </w:r>
          </w:p>
        </w:tc>
      </w:tr>
      <w:tr w14:paraId="7AD71C7E">
        <w:tblPrEx>
          <w:tblCellMar>
            <w:top w:w="0" w:type="dxa"/>
            <w:left w:w="108" w:type="dxa"/>
            <w:bottom w:w="0" w:type="dxa"/>
            <w:right w:w="108" w:type="dxa"/>
          </w:tblCellMar>
        </w:tblPrEx>
        <w:trPr>
          <w:trHeight w:val="454"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2B84E4F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245" w:type="dxa"/>
            <w:tcBorders>
              <w:top w:val="single" w:color="auto" w:sz="4" w:space="0"/>
              <w:left w:val="nil"/>
              <w:bottom w:val="single" w:color="auto" w:sz="4" w:space="0"/>
              <w:right w:val="single" w:color="auto" w:sz="4" w:space="0"/>
            </w:tcBorders>
            <w:shd w:val="clear" w:color="000000" w:fill="FFFFFF"/>
            <w:vAlign w:val="center"/>
          </w:tcPr>
          <w:p w14:paraId="5DB9FC36">
            <w:pPr>
              <w:keepNext w:val="0"/>
              <w:keepLines w:val="0"/>
              <w:widowControl/>
              <w:suppressLineNumbers w:val="0"/>
              <w:spacing w:line="360" w:lineRule="auto"/>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妇幼保健信息系统平台</w:t>
            </w:r>
          </w:p>
        </w:tc>
        <w:tc>
          <w:tcPr>
            <w:tcW w:w="1417" w:type="dxa"/>
            <w:tcBorders>
              <w:top w:val="nil"/>
              <w:left w:val="nil"/>
              <w:bottom w:val="single" w:color="auto" w:sz="4" w:space="0"/>
              <w:right w:val="single" w:color="auto" w:sz="4" w:space="0"/>
            </w:tcBorders>
            <w:shd w:val="clear" w:color="000000" w:fill="FFFFFF"/>
            <w:vAlign w:val="center"/>
          </w:tcPr>
          <w:p w14:paraId="77E7F98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级</w:t>
            </w:r>
          </w:p>
        </w:tc>
        <w:tc>
          <w:tcPr>
            <w:tcW w:w="1196" w:type="dxa"/>
            <w:tcBorders>
              <w:top w:val="nil"/>
              <w:left w:val="nil"/>
              <w:bottom w:val="single" w:color="auto" w:sz="4" w:space="0"/>
              <w:right w:val="single" w:color="auto" w:sz="4" w:space="0"/>
            </w:tcBorders>
            <w:shd w:val="clear" w:color="000000" w:fill="FFFFFF"/>
            <w:vAlign w:val="center"/>
          </w:tcPr>
          <w:p w14:paraId="4B60E14A">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专</w:t>
            </w:r>
            <w:r>
              <w:rPr>
                <w:rFonts w:hint="eastAsia" w:ascii="宋体" w:hAnsi="宋体" w:eastAsia="宋体" w:cs="宋体"/>
                <w:sz w:val="24"/>
                <w:szCs w:val="24"/>
              </w:rPr>
              <w:t>网</w:t>
            </w:r>
          </w:p>
        </w:tc>
      </w:tr>
      <w:tr w14:paraId="75A7C211">
        <w:tblPrEx>
          <w:tblCellMar>
            <w:top w:w="0" w:type="dxa"/>
            <w:left w:w="108" w:type="dxa"/>
            <w:bottom w:w="0" w:type="dxa"/>
            <w:right w:w="108" w:type="dxa"/>
          </w:tblCellMar>
        </w:tblPrEx>
        <w:trPr>
          <w:trHeight w:val="454" w:hRule="atLeast"/>
          <w:jc w:val="center"/>
        </w:trPr>
        <w:tc>
          <w:tcPr>
            <w:tcW w:w="866" w:type="dxa"/>
            <w:tcBorders>
              <w:top w:val="nil"/>
              <w:left w:val="single" w:color="auto" w:sz="4" w:space="0"/>
              <w:bottom w:val="single" w:color="auto" w:sz="4" w:space="0"/>
              <w:right w:val="single" w:color="auto" w:sz="4" w:space="0"/>
            </w:tcBorders>
            <w:shd w:val="clear" w:color="000000" w:fill="FFFFFF"/>
            <w:vAlign w:val="center"/>
          </w:tcPr>
          <w:p w14:paraId="0BE056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245" w:type="dxa"/>
            <w:tcBorders>
              <w:top w:val="single" w:color="auto" w:sz="4" w:space="0"/>
              <w:left w:val="nil"/>
              <w:bottom w:val="single" w:color="auto" w:sz="4" w:space="0"/>
              <w:right w:val="single" w:color="auto" w:sz="4" w:space="0"/>
            </w:tcBorders>
            <w:shd w:val="clear" w:color="000000" w:fill="FFFFFF"/>
            <w:vAlign w:val="center"/>
          </w:tcPr>
          <w:p w14:paraId="3B50F7FD">
            <w:pPr>
              <w:keepNext w:val="0"/>
              <w:keepLines w:val="0"/>
              <w:widowControl/>
              <w:suppressLineNumbers w:val="0"/>
              <w:spacing w:line="36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互联网医院系统平台</w:t>
            </w:r>
          </w:p>
        </w:tc>
        <w:tc>
          <w:tcPr>
            <w:tcW w:w="1417" w:type="dxa"/>
            <w:tcBorders>
              <w:top w:val="nil"/>
              <w:left w:val="nil"/>
              <w:bottom w:val="single" w:color="auto" w:sz="4" w:space="0"/>
              <w:right w:val="single" w:color="auto" w:sz="4" w:space="0"/>
            </w:tcBorders>
            <w:shd w:val="clear" w:color="000000" w:fill="FFFFFF"/>
          </w:tcPr>
          <w:p w14:paraId="4162E8EA">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级</w:t>
            </w:r>
          </w:p>
        </w:tc>
        <w:tc>
          <w:tcPr>
            <w:tcW w:w="1196" w:type="dxa"/>
            <w:tcBorders>
              <w:top w:val="nil"/>
              <w:left w:val="nil"/>
              <w:bottom w:val="single" w:color="auto" w:sz="4" w:space="0"/>
              <w:right w:val="single" w:color="auto" w:sz="4" w:space="0"/>
            </w:tcBorders>
            <w:shd w:val="clear" w:color="000000" w:fill="FFFFFF"/>
            <w:vAlign w:val="center"/>
          </w:tcPr>
          <w:p w14:paraId="5AD851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外网</w:t>
            </w:r>
          </w:p>
        </w:tc>
      </w:tr>
      <w:tr w14:paraId="4364309E">
        <w:tblPrEx>
          <w:tblCellMar>
            <w:top w:w="0" w:type="dxa"/>
            <w:left w:w="108" w:type="dxa"/>
            <w:bottom w:w="0" w:type="dxa"/>
            <w:right w:w="108" w:type="dxa"/>
          </w:tblCellMar>
        </w:tblPrEx>
        <w:trPr>
          <w:trHeight w:val="195"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vAlign w:val="center"/>
          </w:tcPr>
          <w:p w14:paraId="245405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245" w:type="dxa"/>
            <w:tcBorders>
              <w:left w:val="nil"/>
              <w:bottom w:val="single" w:color="auto" w:sz="4" w:space="0"/>
              <w:right w:val="single" w:color="auto" w:sz="4" w:space="0"/>
            </w:tcBorders>
            <w:shd w:val="clear" w:color="000000" w:fill="FFFFFF"/>
            <w:vAlign w:val="center"/>
          </w:tcPr>
          <w:p w14:paraId="3CAB0A15">
            <w:pPr>
              <w:keepNext w:val="0"/>
              <w:keepLines w:val="0"/>
              <w:widowControl/>
              <w:suppressLineNumbers w:val="0"/>
              <w:spacing w:line="36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医院管理信息系统</w:t>
            </w:r>
          </w:p>
        </w:tc>
        <w:tc>
          <w:tcPr>
            <w:tcW w:w="1417" w:type="dxa"/>
            <w:tcBorders>
              <w:top w:val="nil"/>
              <w:left w:val="nil"/>
              <w:bottom w:val="single" w:color="auto" w:sz="4" w:space="0"/>
              <w:right w:val="single" w:color="auto" w:sz="4" w:space="0"/>
            </w:tcBorders>
            <w:shd w:val="clear" w:color="000000" w:fill="FFFFFF"/>
          </w:tcPr>
          <w:p w14:paraId="357DCD5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级</w:t>
            </w:r>
          </w:p>
        </w:tc>
        <w:tc>
          <w:tcPr>
            <w:tcW w:w="1196" w:type="dxa"/>
            <w:tcBorders>
              <w:top w:val="nil"/>
              <w:left w:val="nil"/>
              <w:bottom w:val="single" w:color="auto" w:sz="4" w:space="0"/>
              <w:right w:val="single" w:color="auto" w:sz="4" w:space="0"/>
            </w:tcBorders>
            <w:shd w:val="clear" w:color="000000" w:fill="FFFFFF"/>
            <w:vAlign w:val="center"/>
          </w:tcPr>
          <w:p w14:paraId="75007BC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专</w:t>
            </w:r>
            <w:r>
              <w:rPr>
                <w:rFonts w:hint="eastAsia" w:ascii="宋体" w:hAnsi="宋体" w:eastAsia="宋体" w:cs="宋体"/>
                <w:sz w:val="24"/>
                <w:szCs w:val="24"/>
              </w:rPr>
              <w:t>网</w:t>
            </w:r>
          </w:p>
        </w:tc>
      </w:tr>
      <w:tr w14:paraId="401E2A24">
        <w:tblPrEx>
          <w:tblCellMar>
            <w:top w:w="0" w:type="dxa"/>
            <w:left w:w="108" w:type="dxa"/>
            <w:bottom w:w="0" w:type="dxa"/>
            <w:right w:w="108" w:type="dxa"/>
          </w:tblCellMar>
        </w:tblPrEx>
        <w:trPr>
          <w:trHeight w:val="132"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vAlign w:val="center"/>
          </w:tcPr>
          <w:p w14:paraId="2C468C7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245" w:type="dxa"/>
            <w:tcBorders>
              <w:top w:val="single" w:color="auto" w:sz="4" w:space="0"/>
              <w:left w:val="nil"/>
              <w:bottom w:val="single" w:color="auto" w:sz="4" w:space="0"/>
              <w:right w:val="single" w:color="auto" w:sz="4" w:space="0"/>
            </w:tcBorders>
            <w:shd w:val="clear" w:color="000000" w:fill="FFFFFF"/>
            <w:vAlign w:val="center"/>
          </w:tcPr>
          <w:p w14:paraId="4CFFE971">
            <w:pPr>
              <w:keepNext w:val="0"/>
              <w:keepLines w:val="0"/>
              <w:widowControl/>
              <w:suppressLineNumbers w:val="0"/>
              <w:spacing w:line="36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集成平台</w:t>
            </w:r>
          </w:p>
        </w:tc>
        <w:tc>
          <w:tcPr>
            <w:tcW w:w="1417" w:type="dxa"/>
            <w:tcBorders>
              <w:top w:val="single" w:color="auto" w:sz="4" w:space="0"/>
              <w:left w:val="nil"/>
              <w:bottom w:val="single" w:color="auto" w:sz="4" w:space="0"/>
              <w:right w:val="single" w:color="auto" w:sz="4" w:space="0"/>
            </w:tcBorders>
            <w:shd w:val="clear" w:color="000000" w:fill="FFFFFF"/>
          </w:tcPr>
          <w:p w14:paraId="2590C20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三级</w:t>
            </w:r>
          </w:p>
        </w:tc>
        <w:tc>
          <w:tcPr>
            <w:tcW w:w="1196" w:type="dxa"/>
            <w:tcBorders>
              <w:top w:val="single" w:color="auto" w:sz="4" w:space="0"/>
              <w:left w:val="nil"/>
              <w:bottom w:val="single" w:color="auto" w:sz="4" w:space="0"/>
              <w:right w:val="single" w:color="auto" w:sz="4" w:space="0"/>
            </w:tcBorders>
            <w:shd w:val="clear" w:color="000000" w:fill="FFFFFF"/>
            <w:vAlign w:val="center"/>
          </w:tcPr>
          <w:p w14:paraId="46610A6B">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内</w:t>
            </w:r>
            <w:r>
              <w:rPr>
                <w:rFonts w:hint="eastAsia" w:ascii="宋体" w:hAnsi="宋体" w:eastAsia="宋体" w:cs="宋体"/>
                <w:sz w:val="24"/>
                <w:szCs w:val="24"/>
              </w:rPr>
              <w:t>网</w:t>
            </w:r>
          </w:p>
        </w:tc>
      </w:tr>
    </w:tbl>
    <w:p w14:paraId="5D60D2DF">
      <w:pPr>
        <w:pStyle w:val="11"/>
        <w:numPr>
          <w:ilvl w:val="0"/>
          <w:numId w:val="2"/>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安全整改：</w:t>
      </w:r>
      <w:r>
        <w:rPr>
          <w:rFonts w:hint="eastAsia" w:ascii="宋体" w:hAnsi="宋体" w:eastAsia="宋体" w:cs="宋体"/>
          <w:color w:val="333333"/>
          <w:kern w:val="0"/>
          <w:sz w:val="24"/>
          <w:szCs w:val="24"/>
        </w:rPr>
        <w:t>根</w:t>
      </w:r>
      <w:r>
        <w:rPr>
          <w:rFonts w:hint="eastAsia" w:ascii="宋体" w:hAnsi="宋体" w:eastAsia="宋体" w:cs="宋体"/>
          <w:i w:val="0"/>
          <w:iCs w:val="0"/>
          <w:color w:val="000000"/>
          <w:kern w:val="0"/>
          <w:sz w:val="24"/>
          <w:szCs w:val="24"/>
          <w:u w:val="none"/>
          <w:lang w:val="en-US" w:eastAsia="zh-CN" w:bidi="ar"/>
        </w:rPr>
        <w:t>据对目标系统进行风险梳理，提交《风险梳理整改建议》，结合《风险梳理整改建议》协助及参与医院开展全面的整改工作，直至系统通过等级保护测评【投标方需要提供系统通过的承诺函】。</w:t>
      </w:r>
    </w:p>
    <w:p w14:paraId="0D7A5B9B">
      <w:pPr>
        <w:widowControl/>
        <w:shd w:val="clear" w:color="auto" w:fill="FFFFFF"/>
        <w:spacing w:line="360" w:lineRule="auto"/>
        <w:ind w:firstLine="48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333333"/>
          <w:kern w:val="0"/>
          <w:sz w:val="24"/>
          <w:szCs w:val="24"/>
        </w:rPr>
        <w:t>3、</w:t>
      </w:r>
      <w:r>
        <w:rPr>
          <w:rFonts w:hint="eastAsia" w:ascii="宋体" w:hAnsi="宋体" w:eastAsia="宋体" w:cs="宋体"/>
          <w:sz w:val="24"/>
          <w:szCs w:val="24"/>
        </w:rPr>
        <w:t>安全托管服务</w:t>
      </w:r>
      <w:r>
        <w:rPr>
          <w:rFonts w:hint="eastAsia" w:ascii="宋体" w:hAnsi="宋体" w:eastAsia="宋体" w:cs="宋体"/>
          <w:sz w:val="24"/>
          <w:szCs w:val="24"/>
          <w:lang w:eastAsia="zh-CN"/>
        </w:rPr>
        <w:t>：</w:t>
      </w:r>
      <w:r>
        <w:rPr>
          <w:rFonts w:hint="eastAsia" w:ascii="宋体" w:hAnsi="宋体" w:eastAsia="宋体" w:cs="宋体"/>
          <w:sz w:val="24"/>
          <w:szCs w:val="24"/>
        </w:rPr>
        <w:t xml:space="preserve">服务供应商需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 </w:t>
      </w:r>
      <w:r>
        <w:rPr>
          <w:rFonts w:hint="eastAsia" w:ascii="宋体" w:hAnsi="宋体" w:eastAsia="宋体" w:cs="宋体"/>
          <w:color w:val="333333"/>
          <w:kern w:val="0"/>
          <w:sz w:val="24"/>
          <w:szCs w:val="24"/>
        </w:rPr>
        <w:t>。</w:t>
      </w:r>
    </w:p>
    <w:p w14:paraId="0C455DE1">
      <w:pPr>
        <w:pStyle w:val="3"/>
        <w:spacing w:line="360" w:lineRule="auto"/>
        <w:rPr>
          <w:rFonts w:hint="eastAsia" w:ascii="宋体" w:hAnsi="宋体" w:eastAsia="宋体" w:cs="宋体"/>
          <w:sz w:val="24"/>
          <w:szCs w:val="24"/>
        </w:rPr>
      </w:pPr>
      <w:bookmarkStart w:id="3" w:name="_Toc12879"/>
      <w:r>
        <w:rPr>
          <w:rFonts w:hint="eastAsia" w:ascii="宋体" w:hAnsi="宋体" w:eastAsia="宋体" w:cs="宋体"/>
          <w:sz w:val="24"/>
          <w:szCs w:val="24"/>
        </w:rPr>
        <w:t>项目目标</w:t>
      </w:r>
      <w:bookmarkEnd w:id="3"/>
    </w:p>
    <w:p w14:paraId="7D07F750">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等级保护标准为基础，通过系统性的安全服务，进一步建立完整的安全管理体系和动态的安全保障，通过前沿的合规加保障的服务，周期性地对单位的所有资产进行动态检测和动态保障，提高核心服务器群整体的安全性。</w:t>
      </w:r>
    </w:p>
    <w:p w14:paraId="474882AC">
      <w:pPr>
        <w:pStyle w:val="3"/>
        <w:spacing w:line="360" w:lineRule="auto"/>
        <w:rPr>
          <w:rFonts w:hint="eastAsia" w:ascii="宋体" w:hAnsi="宋体" w:eastAsia="宋体" w:cs="宋体"/>
          <w:sz w:val="24"/>
          <w:szCs w:val="24"/>
        </w:rPr>
      </w:pPr>
      <w:bookmarkStart w:id="4" w:name="_Toc26203"/>
      <w:r>
        <w:rPr>
          <w:rFonts w:hint="eastAsia" w:ascii="宋体" w:hAnsi="宋体" w:eastAsia="宋体" w:cs="宋体"/>
          <w:sz w:val="24"/>
          <w:szCs w:val="24"/>
        </w:rPr>
        <w:t>项目内容要求</w:t>
      </w:r>
      <w:bookmarkEnd w:id="4"/>
    </w:p>
    <w:p w14:paraId="2CDC6E70">
      <w:pPr>
        <w:pStyle w:val="4"/>
        <w:spacing w:before="156" w:line="360" w:lineRule="auto"/>
        <w:rPr>
          <w:rFonts w:hint="eastAsia" w:ascii="宋体" w:hAnsi="宋体" w:eastAsia="宋体" w:cs="宋体"/>
          <w:sz w:val="24"/>
          <w:szCs w:val="24"/>
        </w:rPr>
      </w:pPr>
      <w:r>
        <w:rPr>
          <w:rFonts w:hint="eastAsia" w:ascii="宋体" w:hAnsi="宋体" w:eastAsia="宋体" w:cs="宋体"/>
          <w:sz w:val="24"/>
          <w:szCs w:val="24"/>
        </w:rPr>
        <w:t>资产梳理服务</w:t>
      </w:r>
    </w:p>
    <w:p w14:paraId="5F88E3E9">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对江门市妇幼保健院的资产进行梳理，建立江门市妇幼保健院有效安全资产管理，能以资产为安全管理单位进行有效的安全运维工作，并通过实时展示资产的安全风险指数。</w:t>
      </w:r>
    </w:p>
    <w:p w14:paraId="5131E30E">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1、网站资产梳理</w:t>
      </w:r>
    </w:p>
    <w:p w14:paraId="0F7D26A5">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对单位系统进行自动化梳理服务，能主动探测互联网上暴露的资产，形成明确的资产清单，发现未知资产，并发现直接对外开放的危险连接方式。</w:t>
      </w:r>
    </w:p>
    <w:p w14:paraId="13A521A5">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2、服务器资产梳理</w:t>
      </w:r>
    </w:p>
    <w:p w14:paraId="5FB6AE74">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对江门市妇幼保健院服务器进行自动化梳理服务，包括操作系统版本、端口开放情况、协议情况、服务版本、应用程序版本等，实现对服务器的自动化运维管理。</w:t>
      </w:r>
    </w:p>
    <w:p w14:paraId="06F0C3A1">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3、终端资产梳理</w:t>
      </w:r>
    </w:p>
    <w:p w14:paraId="66E8F6CC">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对江门市妇幼保健院终端PC资产自动化梳理服务，对识别到的所有IP地址进行有效管理，包括操作系统版本、端口开放情况、协议情况、服务版本、应用程序版本等。</w:t>
      </w:r>
    </w:p>
    <w:p w14:paraId="6702CEDD">
      <w:pPr>
        <w:pStyle w:val="4"/>
        <w:spacing w:before="156" w:line="360" w:lineRule="auto"/>
        <w:rPr>
          <w:rFonts w:hint="eastAsia" w:ascii="宋体" w:hAnsi="宋体" w:eastAsia="宋体" w:cs="宋体"/>
          <w:sz w:val="24"/>
          <w:szCs w:val="24"/>
        </w:rPr>
      </w:pPr>
      <w:r>
        <w:rPr>
          <w:rFonts w:hint="eastAsia" w:ascii="宋体" w:hAnsi="宋体" w:eastAsia="宋体" w:cs="宋体"/>
          <w:sz w:val="24"/>
          <w:szCs w:val="24"/>
        </w:rPr>
        <w:t>安全隐患排查服务</w:t>
      </w:r>
    </w:p>
    <w:p w14:paraId="697CF02E">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安全隐患排查是实现网络安全管理的前提和基础，为了满足各业务系统的基本安全需求，就需要充分参考国家及行业标准、规范以及成熟经验，建立并形成一个针对各业务系统的安全模型。</w:t>
      </w:r>
    </w:p>
    <w:p w14:paraId="4279E89A">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服务单位使用安全隐患排查工具或人工检查，对江门市妇幼保健院管辖范围内网络设备、主机、操作系统、数据库、中间件、应用软件进行安全隐患核查及是否满足等保规范的原则进行配置，并提供相对应报告。</w:t>
      </w:r>
    </w:p>
    <w:p w14:paraId="74688A95">
      <w:pPr>
        <w:pStyle w:val="4"/>
        <w:spacing w:before="156" w:line="360" w:lineRule="auto"/>
        <w:rPr>
          <w:rFonts w:hint="eastAsia" w:ascii="宋体" w:hAnsi="宋体" w:eastAsia="宋体" w:cs="宋体"/>
          <w:sz w:val="24"/>
          <w:szCs w:val="24"/>
        </w:rPr>
      </w:pPr>
      <w:r>
        <w:rPr>
          <w:rFonts w:hint="eastAsia" w:ascii="宋体" w:hAnsi="宋体" w:eastAsia="宋体" w:cs="宋体"/>
          <w:sz w:val="24"/>
          <w:szCs w:val="24"/>
        </w:rPr>
        <w:t>安全运维监测服务</w:t>
      </w:r>
    </w:p>
    <w:p w14:paraId="26F6F958">
      <w:pPr>
        <w:pStyle w:val="11"/>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网站风险与威胁监测</w:t>
      </w:r>
    </w:p>
    <w:p w14:paraId="0C6F69B6">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对1个网站的“漏洞、篡改、黑链、敏感文件、敏感词、网马监测、可用性、域名劫持”等7个维度开展实时监测。</w:t>
      </w:r>
    </w:p>
    <w:p w14:paraId="7ED2100C">
      <w:pPr>
        <w:pStyle w:val="11"/>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主机漏洞扫描和漏洞管理</w:t>
      </w:r>
    </w:p>
    <w:p w14:paraId="1F6DAF90">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可视化呈现服务工具平台，自动化探测主机、网站资产，可定位和识别主机操作系统、开放端口、应用服务、协议版本，子域名、url、web框架、备案号等，形成可动态管理的资产台账，可通过用户现有的资产台账导入结合，进行补充和更新。</w:t>
      </w:r>
    </w:p>
    <w:p w14:paraId="76ABABAF">
      <w:pPr>
        <w:pStyle w:val="11"/>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弱口令监测</w:t>
      </w:r>
    </w:p>
    <w:p w14:paraId="677E5F3C">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通过可视化呈现服务工具平台，自动化探测主机、网站资产“SSH、SMB、RDP、Telnet、Ftp、pop3、VNC、SNMP、Vmauthd、Postgres、MsSQL、MySQL、Oracle”存在的弱口令情况。</w:t>
      </w:r>
    </w:p>
    <w:p w14:paraId="7D3516BF">
      <w:pPr>
        <w:pStyle w:val="11"/>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互联网威胁诱捕</w:t>
      </w:r>
    </w:p>
    <w:p w14:paraId="66FD5F2E">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通过部署威胁诱捕平台，基于欺骗防御技术，诱骗攻击者、病毒主机攻击蜜罐陷阱，实时零误报定位攻击威胁进行预警。</w:t>
      </w:r>
    </w:p>
    <w:p w14:paraId="168D0E82">
      <w:pPr>
        <w:pStyle w:val="11"/>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边界威胁监测</w:t>
      </w:r>
    </w:p>
    <w:p w14:paraId="678E14C3">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流量镜像对海量流量进行采集，基于40000+威胁特征库，对于捕获的流量进行存储、分析，内置多重检测引擎，包含入侵检测、web检测、威胁情报等，结合攻击源、风险等级、地理位置、攻击目标、命中规则数、告警次数等因素综合分析，精准识别攻击源头，发现不同场景下的已知威胁和未知威胁。</w:t>
      </w:r>
    </w:p>
    <w:p w14:paraId="652D4BB1">
      <w:pPr>
        <w:pStyle w:val="4"/>
        <w:spacing w:before="156" w:line="360" w:lineRule="auto"/>
        <w:rPr>
          <w:rFonts w:hint="eastAsia" w:ascii="宋体" w:hAnsi="宋体" w:eastAsia="宋体" w:cs="宋体"/>
          <w:sz w:val="24"/>
          <w:szCs w:val="24"/>
        </w:rPr>
      </w:pPr>
      <w:bookmarkStart w:id="5" w:name="_Toc90"/>
      <w:r>
        <w:rPr>
          <w:rFonts w:hint="eastAsia" w:ascii="宋体" w:hAnsi="宋体" w:eastAsia="宋体" w:cs="宋体"/>
          <w:sz w:val="24"/>
          <w:szCs w:val="24"/>
        </w:rPr>
        <w:t>安全加固服务要求</w:t>
      </w:r>
      <w:bookmarkEnd w:id="5"/>
    </w:p>
    <w:p w14:paraId="133046D9">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安全隐患排查服务中的《问题整改清单》中提出的问题，在江门市妇幼保健院提供完整的网络安全加固服务，并指导江门市妇幼保健院的系统开发人员开展整改加固工作。主要包括：对问题清单中网络设备、安全设备、服务器的配置加固，推进江门市妇幼保健院的整改实施进度等相关工作，提供满足等级保护安全要求的安全设备协助江门市妇幼保健院通过等级保护测评。</w:t>
      </w:r>
    </w:p>
    <w:p w14:paraId="6B152E4D">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根据《信息安全技术 网络安全等级保护基本要求》，对安全管理制度、安全管理机构、安全管理人员、安全建设管理、安全运维管理五个方面进行安全管理体系的完善，对目前不满足等级保护相关要求的安全管理制度进行补充、修订与编写，以达到满足《信息安全技术 网络安全等级保护基本要求》的目标。</w:t>
      </w:r>
    </w:p>
    <w:p w14:paraId="44E76512">
      <w:pPr>
        <w:pStyle w:val="4"/>
        <w:spacing w:before="156" w:line="360" w:lineRule="auto"/>
        <w:rPr>
          <w:rFonts w:hint="eastAsia" w:ascii="宋体" w:hAnsi="宋体" w:eastAsia="宋体" w:cs="宋体"/>
          <w:sz w:val="24"/>
          <w:szCs w:val="24"/>
        </w:rPr>
      </w:pPr>
      <w:bookmarkStart w:id="6" w:name="_Toc29588"/>
      <w:r>
        <w:rPr>
          <w:rFonts w:hint="eastAsia" w:ascii="宋体" w:hAnsi="宋体" w:eastAsia="宋体" w:cs="宋体"/>
          <w:sz w:val="24"/>
          <w:szCs w:val="24"/>
        </w:rPr>
        <w:t>等级保护测评要求</w:t>
      </w:r>
      <w:bookmarkEnd w:id="6"/>
    </w:p>
    <w:p w14:paraId="5C26BB45">
      <w:pPr>
        <w:pStyle w:val="11"/>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定级备案</w:t>
      </w:r>
    </w:p>
    <w:p w14:paraId="7BE3E016">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根据《GB/T 22240-2020信息安全技术 网络安全等级保护定级指南》等标准，对本项目的信息系统进行调研，协助江门市妇幼保健院完成4个三级系统的《信息系统定级报告》编写工作、填写系统定级备案的相关资料及专家评审，完成定级备案工作，并向当地公安局备案，取得《网络安全等级保护备案证明》。</w:t>
      </w:r>
    </w:p>
    <w:p w14:paraId="2BE34D1D">
      <w:pPr>
        <w:pStyle w:val="11"/>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等级测评</w:t>
      </w:r>
    </w:p>
    <w:p w14:paraId="7723A670">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准聘请具有网络安全等级测评与检测评估认证的测评机构组织对4个三级系统开展网络安全等级保护符合性测评，衡量江门市妇幼保健院信息系统的安全保护管理措施和技术措施是否符合等级保护基本要求，是否具备相应的安全保护能力。</w:t>
      </w:r>
    </w:p>
    <w:p w14:paraId="09DE1244">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依据信息系统的安全保护等级，通过人员访谈、文档查、实地察看、配置检查、工具检测等方法从安全物理环境、安全通信网络、安全区域边界、安全计算环境、安全管理中心、安全管理制度、安全管理机构、安全管理人员、安全建设管理、安全运维管理等方面，判断信息系统现有的安全保护水平与国家信息安全等级保护管理规范和技术标准要求项之间的符合情况。</w:t>
      </w:r>
    </w:p>
    <w:p w14:paraId="31DB52D0">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对信息系统进行整体、全面、公正的评估，对不符合项进行风险分析，组织专家评审，编写安全等级保护测评报告，最终完成验收测评工作，达到国家规定的信息安全要求，并完成向江门市公安局提交测评备案工作。</w:t>
      </w:r>
    </w:p>
    <w:p w14:paraId="22AD9A19">
      <w:pPr>
        <w:pStyle w:val="3"/>
        <w:spacing w:line="360" w:lineRule="auto"/>
        <w:rPr>
          <w:rFonts w:hint="eastAsia" w:ascii="宋体" w:hAnsi="宋体" w:eastAsia="宋体" w:cs="宋体"/>
          <w:sz w:val="24"/>
          <w:szCs w:val="24"/>
        </w:rPr>
      </w:pPr>
      <w:bookmarkStart w:id="7" w:name="_Toc1884"/>
      <w:r>
        <w:rPr>
          <w:rFonts w:hint="eastAsia" w:ascii="宋体" w:hAnsi="宋体" w:eastAsia="宋体" w:cs="宋体"/>
          <w:sz w:val="24"/>
          <w:szCs w:val="24"/>
        </w:rPr>
        <w:t>项目实施基本要求</w:t>
      </w:r>
      <w:bookmarkEnd w:id="7"/>
    </w:p>
    <w:p w14:paraId="1EAEF1B1">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（1）响应供应商提供的资格、资质等证明文件应真实有效，签订合同前江门市妇幼保健院有权核查这些证明文件的原件。</w:t>
      </w:r>
    </w:p>
    <w:p w14:paraId="63C2BBB8">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（2）成交供应商须保证对本项目实施中所获得任何资料和信息严格保密，并与江门市妇幼保健院签订保密责任书。</w:t>
      </w:r>
    </w:p>
    <w:p w14:paraId="5083AA5D">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（3）成交供应商须按照江门市妇幼保健院规定的工作内容及进度安排完成项目工作。</w:t>
      </w:r>
    </w:p>
    <w:p w14:paraId="57912CA8">
      <w:pPr>
        <w:pStyle w:val="3"/>
        <w:spacing w:line="360" w:lineRule="auto"/>
        <w:rPr>
          <w:rFonts w:hint="eastAsia" w:ascii="宋体" w:hAnsi="宋体" w:eastAsia="宋体" w:cs="宋体"/>
          <w:sz w:val="24"/>
          <w:szCs w:val="24"/>
        </w:rPr>
      </w:pPr>
      <w:bookmarkStart w:id="8" w:name="_Toc24788"/>
      <w:r>
        <w:rPr>
          <w:rFonts w:hint="eastAsia" w:ascii="宋体" w:hAnsi="宋体" w:eastAsia="宋体" w:cs="宋体"/>
          <w:sz w:val="24"/>
          <w:szCs w:val="24"/>
        </w:rPr>
        <w:t>交付报告要求</w:t>
      </w:r>
      <w:bookmarkEnd w:id="8"/>
    </w:p>
    <w:p w14:paraId="672F6C9D">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服务中产生的全部档案资料版权归江门市妇幼保健院所有，未经江门市妇幼保健院允许的情况下，不得以任何形式向第三方提供安全技术文档的全部或部分内容，交付文件包括但不限于如下成果和报告：</w:t>
      </w:r>
    </w:p>
    <w:p w14:paraId="16565848">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项目实施方案</w:t>
      </w:r>
    </w:p>
    <w:p w14:paraId="519052E0">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资产梳理报告</w:t>
      </w:r>
    </w:p>
    <w:p w14:paraId="74BC62F6">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安全隐患排查报告</w:t>
      </w:r>
    </w:p>
    <w:p w14:paraId="55866B40">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月度安全综合服务报告</w:t>
      </w:r>
    </w:p>
    <w:p w14:paraId="4B1F7076">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安全加固报告</w:t>
      </w:r>
    </w:p>
    <w:p w14:paraId="7F40C1D3">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定级备案材料</w:t>
      </w:r>
    </w:p>
    <w:p w14:paraId="2EC71FF0">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网络安全等级保护测评报告</w:t>
      </w:r>
    </w:p>
    <w:p w14:paraId="66E44097">
      <w:pPr>
        <w:pStyle w:val="11"/>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其他江门市妇幼保健院认为有必要的交付物</w:t>
      </w:r>
    </w:p>
    <w:p w14:paraId="2A97C029">
      <w:pPr>
        <w:pStyle w:val="3"/>
        <w:spacing w:line="360" w:lineRule="auto"/>
        <w:rPr>
          <w:rFonts w:hint="eastAsia" w:ascii="宋体" w:hAnsi="宋体" w:eastAsia="宋体" w:cs="宋体"/>
          <w:sz w:val="24"/>
          <w:szCs w:val="24"/>
        </w:rPr>
      </w:pPr>
      <w:bookmarkStart w:id="9" w:name="_Toc14088"/>
      <w:r>
        <w:rPr>
          <w:rFonts w:hint="eastAsia" w:ascii="宋体" w:hAnsi="宋体" w:eastAsia="宋体" w:cs="宋体"/>
          <w:sz w:val="24"/>
          <w:szCs w:val="24"/>
        </w:rPr>
        <w:t>安全保密要求</w:t>
      </w:r>
      <w:bookmarkEnd w:id="9"/>
    </w:p>
    <w:p w14:paraId="0C750704">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成交供应商应当与江门市妇幼保健院签署保密协议，对于安全服务所获取的相关信息进行严格保密，未经授权不得泄露给任何单位和个人，不得利用此数据、信息进行任何侵害江门市妇幼保健院信息系统的行为。</w:t>
      </w:r>
    </w:p>
    <w:p w14:paraId="344F79D7">
      <w:pPr>
        <w:pStyle w:val="2"/>
        <w:spacing w:line="360" w:lineRule="auto"/>
        <w:rPr>
          <w:rFonts w:hint="eastAsia" w:ascii="宋体" w:hAnsi="宋体" w:eastAsia="宋体" w:cs="宋体"/>
          <w:sz w:val="24"/>
          <w:szCs w:val="24"/>
          <w:lang w:val="zh-CN"/>
        </w:rPr>
      </w:pPr>
      <w:bookmarkStart w:id="10" w:name="_Toc368053514"/>
      <w:bookmarkEnd w:id="10"/>
      <w:bookmarkStart w:id="11" w:name="_Toc10330"/>
      <w:bookmarkEnd w:id="11"/>
      <w:bookmarkStart w:id="12" w:name="_Toc2848687"/>
      <w:bookmarkEnd w:id="12"/>
      <w:bookmarkStart w:id="13" w:name="_Toc382226270"/>
      <w:bookmarkEnd w:id="13"/>
      <w:bookmarkStart w:id="14" w:name="_Toc7367"/>
      <w:bookmarkEnd w:id="14"/>
      <w:bookmarkStart w:id="15" w:name="_Toc23923"/>
      <w:bookmarkEnd w:id="15"/>
      <w:bookmarkStart w:id="16" w:name="_Toc12111"/>
      <w:bookmarkEnd w:id="16"/>
      <w:bookmarkStart w:id="17" w:name="_Toc436140682"/>
      <w:bookmarkEnd w:id="17"/>
      <w:bookmarkStart w:id="18" w:name="_Toc368036945"/>
      <w:bookmarkEnd w:id="18"/>
      <w:bookmarkStart w:id="19" w:name="_Toc15555978"/>
      <w:bookmarkEnd w:id="19"/>
      <w:bookmarkStart w:id="20" w:name="_Toc26730"/>
      <w:bookmarkEnd w:id="20"/>
      <w:bookmarkStart w:id="21" w:name="_Toc12938"/>
      <w:bookmarkEnd w:id="21"/>
      <w:bookmarkStart w:id="22" w:name="_Toc15555977"/>
      <w:bookmarkEnd w:id="22"/>
      <w:bookmarkStart w:id="23" w:name="_Toc32385"/>
      <w:bookmarkEnd w:id="23"/>
      <w:bookmarkStart w:id="24" w:name="_Toc1008"/>
      <w:bookmarkEnd w:id="24"/>
      <w:r>
        <w:rPr>
          <w:rFonts w:hint="eastAsia" w:ascii="宋体" w:hAnsi="宋体" w:eastAsia="宋体" w:cs="宋体"/>
          <w:sz w:val="24"/>
          <w:szCs w:val="24"/>
          <w:lang w:val="zh-CN"/>
        </w:rPr>
        <w:t>商务要求</w:t>
      </w:r>
    </w:p>
    <w:p w14:paraId="4E45F942">
      <w:pPr>
        <w:pStyle w:val="3"/>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组织实施要求</w:t>
      </w:r>
    </w:p>
    <w:p w14:paraId="2FC6D56B">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1)应安排专职项目经理负责本次项目的实施。</w:t>
      </w:r>
    </w:p>
    <w:p w14:paraId="2A771FF4">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2)应保证项目团队成员的稳定，以保证服务的质量和连贯性。</w:t>
      </w:r>
    </w:p>
    <w:p w14:paraId="0EB7489D">
      <w:pPr>
        <w:pStyle w:val="3"/>
        <w:spacing w:line="360" w:lineRule="auto"/>
        <w:rPr>
          <w:rFonts w:hint="eastAsia" w:ascii="宋体" w:hAnsi="宋体" w:eastAsia="宋体" w:cs="宋体"/>
          <w:sz w:val="24"/>
          <w:szCs w:val="24"/>
        </w:rPr>
      </w:pPr>
      <w:r>
        <w:rPr>
          <w:rFonts w:hint="eastAsia" w:ascii="宋体" w:hAnsi="宋体" w:eastAsia="宋体" w:cs="宋体"/>
          <w:sz w:val="24"/>
          <w:szCs w:val="24"/>
        </w:rPr>
        <w:t>交付要求</w:t>
      </w:r>
    </w:p>
    <w:p w14:paraId="16D61B0A">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本项目服务期限，</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eastAsia="宋体" w:cs="宋体"/>
          <w:sz w:val="24"/>
          <w:szCs w:val="24"/>
        </w:rPr>
        <w:t>内完成上述服务内容，提交《资产梳理报告》、《安全隐患排查报告》、《季度安全综合服务报告》、《安全加固报告》《定级备案材料》并将最终的《信息系统等级测评报告》提交至江门市公安局网安支队进行备案。</w:t>
      </w:r>
    </w:p>
    <w:p w14:paraId="646DBA05">
      <w:pPr>
        <w:pStyle w:val="3"/>
        <w:spacing w:line="360" w:lineRule="auto"/>
        <w:rPr>
          <w:rFonts w:hint="eastAsia" w:ascii="宋体" w:hAnsi="宋体" w:eastAsia="宋体" w:cs="宋体"/>
          <w:sz w:val="24"/>
          <w:szCs w:val="24"/>
        </w:rPr>
      </w:pPr>
      <w:r>
        <w:rPr>
          <w:rFonts w:hint="eastAsia" w:ascii="宋体" w:hAnsi="宋体" w:eastAsia="宋体" w:cs="宋体"/>
          <w:sz w:val="24"/>
          <w:szCs w:val="24"/>
        </w:rPr>
        <w:t>整体技术要求</w:t>
      </w:r>
    </w:p>
    <w:p w14:paraId="6FBF1366">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本项目中可能需要的硬件平台（如笔记本电脑、PC、工作站等）均由中标方提供，采购方将按照相关要求对设备进行必要处理。中标方在服务期间未经采购方许可不得将设备带离采购方指定场所，也不得使用任何未经采购方确认的存储设备对测评数据进行复制。</w:t>
      </w:r>
    </w:p>
    <w:p w14:paraId="295FD5EF">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安全测评、评估等应按照分层的原则，包括但不限于以下对象：安全物理环境、安全通信网络、安全区域边界、安全计算环境、安全管理中心、安全管理制度、安全管理机构、安全管理人员、安全建设管理、安全运维管理等。</w:t>
      </w:r>
    </w:p>
    <w:p w14:paraId="4986E0B0">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3）中标方在服务过程中应尽可能小的影响系统和网络的正常运行，不能对系统的运行和业务的正常提供产生显著影响。</w:t>
      </w:r>
    </w:p>
    <w:p w14:paraId="0CE8939C">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4）中标方应对服务工作中所产生的过程数据和结果数据严格保密，未经授权不得泄露给任何单位和个人，采购方有权要求在评估结束之后销毁所有和评估有关的数据和文档。</w:t>
      </w:r>
    </w:p>
    <w:p w14:paraId="2DCBA27E">
      <w:pPr>
        <w:pStyle w:val="3"/>
        <w:spacing w:line="360" w:lineRule="auto"/>
        <w:rPr>
          <w:rFonts w:hint="eastAsia" w:ascii="宋体" w:hAnsi="宋体" w:eastAsia="宋体" w:cs="宋体"/>
          <w:sz w:val="24"/>
          <w:szCs w:val="24"/>
        </w:rPr>
      </w:pPr>
      <w:r>
        <w:rPr>
          <w:rFonts w:hint="eastAsia" w:ascii="宋体" w:hAnsi="宋体" w:eastAsia="宋体" w:cs="宋体"/>
          <w:sz w:val="24"/>
          <w:szCs w:val="24"/>
        </w:rPr>
        <w:t>付款方式</w:t>
      </w:r>
    </w:p>
    <w:p w14:paraId="5BC5CCE9">
      <w:pPr>
        <w:pStyle w:val="11"/>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付款方式：</w:t>
      </w:r>
      <w:r>
        <w:rPr>
          <w:rFonts w:hint="eastAsia" w:ascii="color:#333333;" w:hAnsi="color:#333333;" w:eastAsia="宋体" w:cs="宋体"/>
          <w:color w:val="333333"/>
          <w:kern w:val="0"/>
          <w:sz w:val="24"/>
          <w:szCs w:val="24"/>
        </w:rPr>
        <w:t>经甲方验收合格后</w:t>
      </w:r>
      <w:r>
        <w:rPr>
          <w:rFonts w:hint="eastAsia" w:ascii="color:#333333;" w:hAnsi="color:#333333;" w:eastAsia="宋体" w:cs="宋体"/>
          <w:color w:val="333333"/>
          <w:kern w:val="0"/>
          <w:sz w:val="24"/>
          <w:szCs w:val="24"/>
          <w:lang w:val="en-US" w:eastAsia="zh-CN"/>
        </w:rPr>
        <w:t>20个工作日内</w:t>
      </w:r>
      <w:r>
        <w:rPr>
          <w:rFonts w:hint="eastAsia" w:ascii="color:#333333;" w:hAnsi="color:#333333;" w:cs="宋体"/>
          <w:color w:val="333333"/>
          <w:kern w:val="0"/>
          <w:sz w:val="24"/>
          <w:szCs w:val="24"/>
          <w:lang w:val="en-US" w:eastAsia="zh-CN"/>
        </w:rPr>
        <w:t>申请</w:t>
      </w:r>
      <w:r>
        <w:rPr>
          <w:rFonts w:hint="eastAsia" w:ascii="color:#333333;" w:hAnsi="color:#333333;" w:eastAsia="宋体" w:cs="宋体"/>
          <w:color w:val="333333"/>
          <w:kern w:val="0"/>
          <w:sz w:val="24"/>
          <w:szCs w:val="24"/>
          <w:lang w:val="en-US" w:eastAsia="zh-CN"/>
        </w:rPr>
        <w:t>支付</w:t>
      </w:r>
      <w:r>
        <w:rPr>
          <w:rFonts w:hint="eastAsia" w:ascii="color:#333333;" w:hAnsi="color:#333333;" w:eastAsia="宋体" w:cs="宋体"/>
          <w:color w:val="333333"/>
          <w:kern w:val="0"/>
          <w:sz w:val="24"/>
          <w:szCs w:val="24"/>
        </w:rPr>
        <w:t>合同全款金额。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olor:#333333;">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DC707"/>
    <w:multiLevelType w:val="singleLevel"/>
    <w:tmpl w:val="EBBDC707"/>
    <w:lvl w:ilvl="0" w:tentative="0">
      <w:start w:val="2"/>
      <w:numFmt w:val="decimal"/>
      <w:suff w:val="space"/>
      <w:lvlText w:val="%1."/>
      <w:lvlJc w:val="left"/>
    </w:lvl>
  </w:abstractNum>
  <w:abstractNum w:abstractNumId="1">
    <w:nsid w:val="64A01B7A"/>
    <w:multiLevelType w:val="multilevel"/>
    <w:tmpl w:val="64A01B7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23C298B"/>
    <w:multiLevelType w:val="multilevel"/>
    <w:tmpl w:val="723C298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M2M0OWNhOTEzNzhiZTkwM2EyM2Y1ZDc4MDM1OTkifQ=="/>
  </w:docVars>
  <w:rsids>
    <w:rsidRoot w:val="00BC4989"/>
    <w:rsid w:val="0006741C"/>
    <w:rsid w:val="00070801"/>
    <w:rsid w:val="000A5CBF"/>
    <w:rsid w:val="00111E79"/>
    <w:rsid w:val="0019475D"/>
    <w:rsid w:val="001A6929"/>
    <w:rsid w:val="002107BF"/>
    <w:rsid w:val="00223723"/>
    <w:rsid w:val="002960D6"/>
    <w:rsid w:val="00365C0F"/>
    <w:rsid w:val="00381040"/>
    <w:rsid w:val="003C7B36"/>
    <w:rsid w:val="003D6341"/>
    <w:rsid w:val="00400B5B"/>
    <w:rsid w:val="00441018"/>
    <w:rsid w:val="00475E0E"/>
    <w:rsid w:val="004D3D53"/>
    <w:rsid w:val="00504CC3"/>
    <w:rsid w:val="00505F64"/>
    <w:rsid w:val="00506303"/>
    <w:rsid w:val="00553EF3"/>
    <w:rsid w:val="00573BFD"/>
    <w:rsid w:val="005771C6"/>
    <w:rsid w:val="00590B5D"/>
    <w:rsid w:val="005B33CF"/>
    <w:rsid w:val="005F23A8"/>
    <w:rsid w:val="0060635B"/>
    <w:rsid w:val="00647CFB"/>
    <w:rsid w:val="00692943"/>
    <w:rsid w:val="006B4FE3"/>
    <w:rsid w:val="006C6700"/>
    <w:rsid w:val="00791F39"/>
    <w:rsid w:val="007A5A5F"/>
    <w:rsid w:val="007E69C4"/>
    <w:rsid w:val="00815878"/>
    <w:rsid w:val="008510FD"/>
    <w:rsid w:val="00851A31"/>
    <w:rsid w:val="00860B85"/>
    <w:rsid w:val="008B4045"/>
    <w:rsid w:val="008D210C"/>
    <w:rsid w:val="008E7371"/>
    <w:rsid w:val="00921C73"/>
    <w:rsid w:val="0095639B"/>
    <w:rsid w:val="0099528E"/>
    <w:rsid w:val="00A07D0A"/>
    <w:rsid w:val="00A43A9A"/>
    <w:rsid w:val="00A61B61"/>
    <w:rsid w:val="00A63CE3"/>
    <w:rsid w:val="00B1392A"/>
    <w:rsid w:val="00B1683D"/>
    <w:rsid w:val="00B22CDB"/>
    <w:rsid w:val="00B36455"/>
    <w:rsid w:val="00B549B0"/>
    <w:rsid w:val="00BA4927"/>
    <w:rsid w:val="00BC4989"/>
    <w:rsid w:val="00BE26F1"/>
    <w:rsid w:val="00C4045A"/>
    <w:rsid w:val="00C7684B"/>
    <w:rsid w:val="00CE2FAE"/>
    <w:rsid w:val="00D93EAF"/>
    <w:rsid w:val="00DA135E"/>
    <w:rsid w:val="00DE6473"/>
    <w:rsid w:val="00E5312B"/>
    <w:rsid w:val="00E701A4"/>
    <w:rsid w:val="00F22755"/>
    <w:rsid w:val="00F55600"/>
    <w:rsid w:val="00F55714"/>
    <w:rsid w:val="00F652C8"/>
    <w:rsid w:val="00FA4C9F"/>
    <w:rsid w:val="01110250"/>
    <w:rsid w:val="049A4077"/>
    <w:rsid w:val="0596483F"/>
    <w:rsid w:val="07FC649C"/>
    <w:rsid w:val="0FA400C2"/>
    <w:rsid w:val="115B4E20"/>
    <w:rsid w:val="15C51A4A"/>
    <w:rsid w:val="1606156C"/>
    <w:rsid w:val="181D7351"/>
    <w:rsid w:val="2E5F7614"/>
    <w:rsid w:val="3AA242D9"/>
    <w:rsid w:val="3E6B5B61"/>
    <w:rsid w:val="4DC1579E"/>
    <w:rsid w:val="5AB75F5E"/>
    <w:rsid w:val="5C1B7E8B"/>
    <w:rsid w:val="63493E13"/>
    <w:rsid w:val="64677548"/>
    <w:rsid w:val="6A06480C"/>
    <w:rsid w:val="6C15634D"/>
    <w:rsid w:val="6DFB00FF"/>
    <w:rsid w:val="6F633DB8"/>
    <w:rsid w:val="71526589"/>
    <w:rsid w:val="7B76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numPr>
        <w:ilvl w:val="0"/>
        <w:numId w:val="1"/>
      </w:numPr>
      <w:tabs>
        <w:tab w:val="left" w:pos="540"/>
      </w:tabs>
      <w:autoSpaceDE w:val="0"/>
      <w:autoSpaceDN w:val="0"/>
      <w:adjustRightInd w:val="0"/>
      <w:spacing w:before="156" w:beforeLines="50" w:line="360" w:lineRule="auto"/>
      <w:outlineLvl w:val="0"/>
    </w:pPr>
    <w:rPr>
      <w:rFonts w:ascii="宋体" w:hAnsi="宋体" w:cs="宋体"/>
      <w:b/>
      <w:bCs/>
      <w:szCs w:val="21"/>
    </w:rPr>
  </w:style>
  <w:style w:type="paragraph" w:styleId="3">
    <w:name w:val="heading 2"/>
    <w:basedOn w:val="2"/>
    <w:next w:val="1"/>
    <w:link w:val="23"/>
    <w:qFormat/>
    <w:uiPriority w:val="0"/>
    <w:pPr>
      <w:numPr>
        <w:ilvl w:val="1"/>
      </w:numPr>
      <w:outlineLvl w:val="1"/>
    </w:pPr>
  </w:style>
  <w:style w:type="paragraph" w:styleId="4">
    <w:name w:val="heading 3"/>
    <w:basedOn w:val="1"/>
    <w:next w:val="1"/>
    <w:link w:val="24"/>
    <w:qFormat/>
    <w:uiPriority w:val="0"/>
    <w:pPr>
      <w:keepNext/>
      <w:numPr>
        <w:ilvl w:val="2"/>
        <w:numId w:val="1"/>
      </w:numPr>
      <w:spacing w:before="50" w:beforeLines="50" w:line="360" w:lineRule="auto"/>
      <w:outlineLvl w:val="2"/>
    </w:pPr>
    <w:rPr>
      <w:rFonts w:ascii="楷体_GB2312" w:hAnsi="宋体"/>
      <w:b/>
      <w:bCs/>
    </w:rPr>
  </w:style>
  <w:style w:type="paragraph" w:styleId="5">
    <w:name w:val="heading 4"/>
    <w:basedOn w:val="1"/>
    <w:next w:val="1"/>
    <w:link w:val="31"/>
    <w:unhideWhenUsed/>
    <w:qFormat/>
    <w:uiPriority w:val="9"/>
    <w:pPr>
      <w:keepNext/>
      <w:keepLines/>
      <w:numPr>
        <w:ilvl w:val="3"/>
        <w:numId w:val="1"/>
      </w:numPr>
      <w:spacing w:before="50" w:beforeLines="50" w:line="360" w:lineRule="auto"/>
      <w:ind w:left="567" w:hanging="567"/>
      <w:outlineLvl w:val="3"/>
    </w:pPr>
    <w:rPr>
      <w:rFonts w:asciiTheme="majorHAnsi" w:hAnsiTheme="majorHAnsi" w:cstheme="majorBidi"/>
      <w:b/>
      <w:bCs/>
      <w:szCs w:val="28"/>
    </w:rPr>
  </w:style>
  <w:style w:type="paragraph" w:styleId="6">
    <w:name w:val="heading 5"/>
    <w:basedOn w:val="1"/>
    <w:next w:val="1"/>
    <w:link w:val="32"/>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3"/>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34"/>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35"/>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36"/>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unhideWhenUsed/>
    <w:qFormat/>
    <w:uiPriority w:val="0"/>
    <w:pPr>
      <w:spacing w:line="360" w:lineRule="auto"/>
      <w:ind w:firstLine="420" w:firstLineChars="200"/>
    </w:pPr>
  </w:style>
  <w:style w:type="paragraph" w:styleId="12">
    <w:name w:val="annotation text"/>
    <w:basedOn w:val="1"/>
    <w:link w:val="25"/>
    <w:qFormat/>
    <w:uiPriority w:val="99"/>
    <w:pPr>
      <w:jc w:val="left"/>
    </w:pPr>
  </w:style>
  <w:style w:type="paragraph" w:styleId="13">
    <w:name w:val="Body Text"/>
    <w:basedOn w:val="1"/>
    <w:link w:val="26"/>
    <w:unhideWhenUsed/>
    <w:qFormat/>
    <w:uiPriority w:val="99"/>
    <w:pPr>
      <w:spacing w:after="120"/>
    </w:pPr>
  </w:style>
  <w:style w:type="paragraph" w:styleId="14">
    <w:name w:val="Balloon Text"/>
    <w:basedOn w:val="1"/>
    <w:link w:val="40"/>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annotation subject"/>
    <w:basedOn w:val="12"/>
    <w:next w:val="12"/>
    <w:link w:val="30"/>
    <w:unhideWhenUsed/>
    <w:qFormat/>
    <w:uiPriority w:val="99"/>
    <w:rPr>
      <w:b/>
      <w:bCs/>
    </w:rPr>
  </w:style>
  <w:style w:type="character" w:styleId="20">
    <w:name w:val="Emphasis"/>
    <w:basedOn w:val="19"/>
    <w:qFormat/>
    <w:uiPriority w:val="20"/>
    <w:rPr>
      <w:i/>
    </w:rPr>
  </w:style>
  <w:style w:type="character" w:styleId="21">
    <w:name w:val="annotation reference"/>
    <w:semiHidden/>
    <w:qFormat/>
    <w:uiPriority w:val="0"/>
    <w:rPr>
      <w:sz w:val="21"/>
      <w:szCs w:val="21"/>
    </w:rPr>
  </w:style>
  <w:style w:type="character" w:customStyle="1" w:styleId="22">
    <w:name w:val="标题 1 字符"/>
    <w:basedOn w:val="19"/>
    <w:link w:val="2"/>
    <w:qFormat/>
    <w:uiPriority w:val="0"/>
    <w:rPr>
      <w:rFonts w:ascii="宋体" w:hAnsi="宋体" w:cs="宋体"/>
      <w:b/>
      <w:bCs/>
      <w:sz w:val="21"/>
      <w:szCs w:val="21"/>
    </w:rPr>
  </w:style>
  <w:style w:type="character" w:customStyle="1" w:styleId="23">
    <w:name w:val="标题 2 字符"/>
    <w:basedOn w:val="19"/>
    <w:link w:val="3"/>
    <w:qFormat/>
    <w:uiPriority w:val="0"/>
    <w:rPr>
      <w:rFonts w:ascii="宋体" w:hAnsi="宋体" w:cs="宋体"/>
      <w:b/>
      <w:bCs/>
      <w:sz w:val="21"/>
      <w:szCs w:val="21"/>
    </w:rPr>
  </w:style>
  <w:style w:type="character" w:customStyle="1" w:styleId="24">
    <w:name w:val="标题 3 字符"/>
    <w:basedOn w:val="19"/>
    <w:link w:val="4"/>
    <w:qFormat/>
    <w:uiPriority w:val="0"/>
    <w:rPr>
      <w:rFonts w:ascii="楷体_GB2312" w:hAnsi="宋体" w:cs="Times New Roman"/>
      <w:b/>
      <w:bCs/>
      <w:sz w:val="21"/>
      <w:szCs w:val="24"/>
    </w:rPr>
  </w:style>
  <w:style w:type="character" w:customStyle="1" w:styleId="25">
    <w:name w:val="批注文字 字符"/>
    <w:basedOn w:val="19"/>
    <w:link w:val="12"/>
    <w:qFormat/>
    <w:uiPriority w:val="99"/>
    <w:rPr>
      <w:rFonts w:cs="Times New Roman"/>
      <w:sz w:val="21"/>
      <w:szCs w:val="24"/>
    </w:rPr>
  </w:style>
  <w:style w:type="character" w:customStyle="1" w:styleId="26">
    <w:name w:val="正文文本 字符"/>
    <w:basedOn w:val="19"/>
    <w:link w:val="13"/>
    <w:semiHidden/>
    <w:qFormat/>
    <w:uiPriority w:val="99"/>
    <w:rPr>
      <w:rFonts w:cs="Times New Roman"/>
      <w:sz w:val="21"/>
      <w:szCs w:val="24"/>
    </w:rPr>
  </w:style>
  <w:style w:type="paragraph" w:customStyle="1" w:styleId="27">
    <w:name w:val="表格文字"/>
    <w:basedOn w:val="1"/>
    <w:qFormat/>
    <w:uiPriority w:val="0"/>
    <w:pPr>
      <w:spacing w:before="25" w:after="25"/>
      <w:jc w:val="left"/>
    </w:pPr>
    <w:rPr>
      <w:bCs/>
      <w:spacing w:val="10"/>
      <w:kern w:val="0"/>
      <w:sz w:val="24"/>
      <w:szCs w:val="20"/>
    </w:rPr>
  </w:style>
  <w:style w:type="paragraph" w:customStyle="1" w:styleId="28">
    <w:name w:val="列表段落1"/>
    <w:basedOn w:val="1"/>
    <w:qFormat/>
    <w:uiPriority w:val="0"/>
    <w:pPr>
      <w:ind w:firstLine="420" w:firstLineChars="200"/>
    </w:pPr>
    <w:rPr>
      <w:rFonts w:ascii="Calibri" w:hAnsi="Calibri"/>
      <w:szCs w:val="22"/>
    </w:rPr>
  </w:style>
  <w:style w:type="character" w:customStyle="1" w:styleId="29">
    <w:name w:val="正文缩进 字符"/>
    <w:link w:val="11"/>
    <w:qFormat/>
    <w:uiPriority w:val="0"/>
    <w:rPr>
      <w:rFonts w:cs="Times New Roman"/>
      <w:sz w:val="21"/>
      <w:szCs w:val="24"/>
    </w:rPr>
  </w:style>
  <w:style w:type="character" w:customStyle="1" w:styleId="30">
    <w:name w:val="批注主题 字符"/>
    <w:basedOn w:val="25"/>
    <w:link w:val="17"/>
    <w:semiHidden/>
    <w:qFormat/>
    <w:uiPriority w:val="99"/>
    <w:rPr>
      <w:rFonts w:cs="Times New Roman"/>
      <w:b/>
      <w:bCs/>
      <w:sz w:val="21"/>
      <w:szCs w:val="24"/>
    </w:rPr>
  </w:style>
  <w:style w:type="character" w:customStyle="1" w:styleId="31">
    <w:name w:val="标题 4 字符"/>
    <w:basedOn w:val="19"/>
    <w:link w:val="5"/>
    <w:qFormat/>
    <w:uiPriority w:val="9"/>
    <w:rPr>
      <w:rFonts w:asciiTheme="majorHAnsi" w:hAnsiTheme="majorHAnsi" w:cstheme="majorBidi"/>
      <w:b/>
      <w:bCs/>
      <w:sz w:val="21"/>
      <w:szCs w:val="28"/>
    </w:rPr>
  </w:style>
  <w:style w:type="character" w:customStyle="1" w:styleId="32">
    <w:name w:val="标题 5 字符"/>
    <w:basedOn w:val="19"/>
    <w:link w:val="6"/>
    <w:semiHidden/>
    <w:qFormat/>
    <w:uiPriority w:val="9"/>
    <w:rPr>
      <w:rFonts w:cs="Times New Roman"/>
      <w:b/>
      <w:bCs/>
      <w:sz w:val="28"/>
      <w:szCs w:val="28"/>
    </w:rPr>
  </w:style>
  <w:style w:type="character" w:customStyle="1" w:styleId="33">
    <w:name w:val="标题 6 字符"/>
    <w:basedOn w:val="19"/>
    <w:link w:val="7"/>
    <w:semiHidden/>
    <w:qFormat/>
    <w:uiPriority w:val="9"/>
    <w:rPr>
      <w:rFonts w:asciiTheme="majorHAnsi" w:hAnsiTheme="majorHAnsi" w:eastAsiaTheme="majorEastAsia" w:cstheme="majorBidi"/>
      <w:b/>
      <w:bCs/>
      <w:szCs w:val="24"/>
    </w:rPr>
  </w:style>
  <w:style w:type="character" w:customStyle="1" w:styleId="34">
    <w:name w:val="标题 7 字符"/>
    <w:basedOn w:val="19"/>
    <w:link w:val="8"/>
    <w:semiHidden/>
    <w:qFormat/>
    <w:uiPriority w:val="9"/>
    <w:rPr>
      <w:rFonts w:cs="Times New Roman"/>
      <w:b/>
      <w:bCs/>
      <w:szCs w:val="24"/>
    </w:rPr>
  </w:style>
  <w:style w:type="character" w:customStyle="1" w:styleId="35">
    <w:name w:val="标题 8 字符"/>
    <w:basedOn w:val="19"/>
    <w:link w:val="9"/>
    <w:semiHidden/>
    <w:qFormat/>
    <w:uiPriority w:val="9"/>
    <w:rPr>
      <w:rFonts w:asciiTheme="majorHAnsi" w:hAnsiTheme="majorHAnsi" w:eastAsiaTheme="majorEastAsia" w:cstheme="majorBidi"/>
      <w:szCs w:val="24"/>
    </w:rPr>
  </w:style>
  <w:style w:type="character" w:customStyle="1" w:styleId="36">
    <w:name w:val="标题 9 字符"/>
    <w:basedOn w:val="19"/>
    <w:link w:val="10"/>
    <w:semiHidden/>
    <w:qFormat/>
    <w:uiPriority w:val="9"/>
    <w:rPr>
      <w:rFonts w:asciiTheme="majorHAnsi" w:hAnsiTheme="majorHAnsi" w:eastAsiaTheme="majorEastAsia" w:cstheme="majorBidi"/>
      <w:sz w:val="21"/>
      <w:szCs w:val="21"/>
    </w:rPr>
  </w:style>
  <w:style w:type="character" w:customStyle="1" w:styleId="37">
    <w:name w:val="页眉 字符"/>
    <w:basedOn w:val="19"/>
    <w:link w:val="16"/>
    <w:qFormat/>
    <w:uiPriority w:val="99"/>
    <w:rPr>
      <w:rFonts w:cs="Times New Roman"/>
      <w:sz w:val="18"/>
      <w:szCs w:val="18"/>
    </w:rPr>
  </w:style>
  <w:style w:type="character" w:customStyle="1" w:styleId="38">
    <w:name w:val="页脚 字符"/>
    <w:basedOn w:val="19"/>
    <w:link w:val="15"/>
    <w:qFormat/>
    <w:uiPriority w:val="99"/>
    <w:rPr>
      <w:rFonts w:cs="Times New Roman"/>
      <w:sz w:val="18"/>
      <w:szCs w:val="18"/>
    </w:rPr>
  </w:style>
  <w:style w:type="paragraph" w:customStyle="1" w:styleId="39">
    <w:name w:val="列出段落1"/>
    <w:basedOn w:val="1"/>
    <w:qFormat/>
    <w:uiPriority w:val="34"/>
    <w:pPr>
      <w:ind w:firstLine="420" w:firstLineChars="200"/>
    </w:pPr>
  </w:style>
  <w:style w:type="character" w:customStyle="1" w:styleId="40">
    <w:name w:val="批注框文本 字符"/>
    <w:basedOn w:val="19"/>
    <w:link w:val="14"/>
    <w:semiHidden/>
    <w:qFormat/>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3896</Words>
  <Characters>3987</Characters>
  <Lines>120</Lines>
  <Paragraphs>33</Paragraphs>
  <TotalTime>1</TotalTime>
  <ScaleCrop>false</ScaleCrop>
  <LinksUpToDate>false</LinksUpToDate>
  <CharactersWithSpaces>3996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2023-11-15T17:16:00Z</dcterms:created>
  <dc:creator>ADMINISTRATOR</dc:creator>
  <cp:lastModifiedBy>张小霞</cp:lastModifiedBy>
  <dcterms:modified xsi:type="dcterms:W3CDTF">2025-07-23T02:50:20Z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7E87F0538C9B4981AD5968E7A840F5A0_13</vt:lpwstr>
  </property>
  <property fmtid="{D5CDD505-2E9C-101B-9397-08002B2CF9AE}" pid="4" name="KSOTemplateDocerSaveRecord">
    <vt:lpwstr>eyJoZGlkIjoiNmQxZjBlNDE5YmVjM2I0ZTlkYTk3MTJmN2FkZjBkY2UiLCJ1c2VySWQiOiI1MjczMTA5MDAifQ==</vt:lpwstr>
  </property>
</Properties>
</file>