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9C" w:rsidRDefault="002B41AF">
      <w:pPr>
        <w:spacing w:line="576" w:lineRule="exact"/>
        <w:jc w:val="center"/>
        <w:rPr>
          <w:rFonts w:ascii="方正小标宋简体" w:eastAsia="方正小标宋简体" w:hAnsi="方正小标宋简体" w:cs="方正小标宋简体"/>
          <w:bCs/>
          <w:sz w:val="44"/>
          <w:szCs w:val="44"/>
        </w:rPr>
      </w:pPr>
      <w:bookmarkStart w:id="0" w:name="_GoBack"/>
      <w:r w:rsidRPr="002B41AF">
        <w:rPr>
          <w:rFonts w:ascii="方正小标宋简体" w:eastAsia="方正小标宋简体" w:hAnsi="方正小标宋简体" w:cs="方正小标宋简体" w:hint="eastAsia"/>
          <w:bCs/>
          <w:sz w:val="44"/>
          <w:szCs w:val="44"/>
        </w:rPr>
        <w:t>江门市妇幼保健院</w:t>
      </w:r>
      <w:r w:rsidR="00E27BB7">
        <w:rPr>
          <w:rFonts w:ascii="方正小标宋简体" w:eastAsia="方正小标宋简体" w:hAnsi="方正小标宋简体" w:cs="方正小标宋简体" w:hint="eastAsia"/>
          <w:bCs/>
          <w:sz w:val="44"/>
          <w:szCs w:val="44"/>
        </w:rPr>
        <w:t>202</w:t>
      </w:r>
      <w:r w:rsidR="00E27BB7">
        <w:rPr>
          <w:rFonts w:ascii="方正小标宋简体" w:eastAsia="方正小标宋简体" w:hAnsi="方正小标宋简体" w:cs="方正小标宋简体" w:hint="eastAsia"/>
          <w:bCs/>
          <w:sz w:val="44"/>
          <w:szCs w:val="44"/>
        </w:rPr>
        <w:t>5</w:t>
      </w:r>
      <w:r w:rsidR="00E27BB7">
        <w:rPr>
          <w:rFonts w:ascii="方正小标宋简体" w:eastAsia="方正小标宋简体" w:hAnsi="方正小标宋简体" w:cs="方正小标宋简体" w:hint="eastAsia"/>
          <w:bCs/>
          <w:sz w:val="44"/>
          <w:szCs w:val="44"/>
        </w:rPr>
        <w:t>年</w:t>
      </w:r>
      <w:r w:rsidR="00E27BB7">
        <w:rPr>
          <w:rFonts w:ascii="方正小标宋简体" w:eastAsia="方正小标宋简体" w:hAnsi="方正小标宋简体" w:cs="方正小标宋简体" w:hint="eastAsia"/>
          <w:bCs/>
          <w:sz w:val="44"/>
          <w:szCs w:val="44"/>
        </w:rPr>
        <w:t>医疗责任保险</w:t>
      </w:r>
      <w:r w:rsidR="00E27BB7">
        <w:rPr>
          <w:rFonts w:ascii="方正小标宋简体" w:eastAsia="方正小标宋简体" w:hAnsi="方正小标宋简体" w:cs="方正小标宋简体" w:hint="eastAsia"/>
          <w:bCs/>
          <w:sz w:val="44"/>
          <w:szCs w:val="44"/>
        </w:rPr>
        <w:t>服务项目评分表</w:t>
      </w:r>
      <w:bookmarkEnd w:id="0"/>
    </w:p>
    <w:p w:rsidR="0073619C" w:rsidRPr="002B41AF" w:rsidRDefault="0073619C">
      <w:pPr>
        <w:jc w:val="left"/>
        <w:rPr>
          <w:rFonts w:ascii="方正仿宋简体" w:eastAsia="方正仿宋简体" w:hAnsi="方正仿宋简体" w:cs="方正仿宋简体"/>
          <w:sz w:val="28"/>
          <w:szCs w:val="32"/>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761"/>
        <w:gridCol w:w="4864"/>
        <w:gridCol w:w="782"/>
        <w:gridCol w:w="968"/>
      </w:tblGrid>
      <w:tr w:rsidR="0073619C">
        <w:tc>
          <w:tcPr>
            <w:tcW w:w="829" w:type="dxa"/>
          </w:tcPr>
          <w:p w:rsidR="0073619C" w:rsidRDefault="00E27BB7">
            <w:pPr>
              <w:jc w:val="center"/>
              <w:rPr>
                <w:b/>
                <w:bCs/>
                <w:sz w:val="28"/>
                <w:szCs w:val="28"/>
              </w:rPr>
            </w:pPr>
            <w:r>
              <w:rPr>
                <w:b/>
                <w:bCs/>
                <w:sz w:val="28"/>
                <w:szCs w:val="28"/>
              </w:rPr>
              <w:t>评审因素</w:t>
            </w:r>
          </w:p>
        </w:tc>
        <w:tc>
          <w:tcPr>
            <w:tcW w:w="5625" w:type="dxa"/>
            <w:gridSpan w:val="2"/>
            <w:vAlign w:val="center"/>
          </w:tcPr>
          <w:p w:rsidR="0073619C" w:rsidRDefault="00E27BB7">
            <w:pPr>
              <w:jc w:val="center"/>
              <w:rPr>
                <w:b/>
                <w:bCs/>
                <w:sz w:val="28"/>
                <w:szCs w:val="28"/>
              </w:rPr>
            </w:pPr>
            <w:r>
              <w:rPr>
                <w:b/>
                <w:bCs/>
                <w:sz w:val="28"/>
                <w:szCs w:val="28"/>
              </w:rPr>
              <w:t>评审标准</w:t>
            </w:r>
          </w:p>
        </w:tc>
        <w:tc>
          <w:tcPr>
            <w:tcW w:w="782" w:type="dxa"/>
            <w:vAlign w:val="center"/>
          </w:tcPr>
          <w:p w:rsidR="0073619C" w:rsidRDefault="00E27BB7">
            <w:pPr>
              <w:jc w:val="center"/>
              <w:rPr>
                <w:b/>
                <w:bCs/>
                <w:sz w:val="28"/>
                <w:szCs w:val="28"/>
              </w:rPr>
            </w:pPr>
            <w:r>
              <w:rPr>
                <w:rFonts w:hint="eastAsia"/>
                <w:b/>
                <w:bCs/>
                <w:sz w:val="28"/>
                <w:szCs w:val="28"/>
              </w:rPr>
              <w:t>分值</w:t>
            </w:r>
          </w:p>
        </w:tc>
        <w:tc>
          <w:tcPr>
            <w:tcW w:w="968" w:type="dxa"/>
            <w:vAlign w:val="center"/>
          </w:tcPr>
          <w:p w:rsidR="0073619C" w:rsidRDefault="00E27BB7">
            <w:pPr>
              <w:jc w:val="center"/>
              <w:rPr>
                <w:b/>
                <w:bCs/>
                <w:sz w:val="28"/>
                <w:szCs w:val="28"/>
              </w:rPr>
            </w:pPr>
            <w:r>
              <w:rPr>
                <w:rFonts w:hint="eastAsia"/>
                <w:b/>
                <w:bCs/>
                <w:sz w:val="28"/>
                <w:szCs w:val="28"/>
              </w:rPr>
              <w:t>评分</w:t>
            </w:r>
          </w:p>
        </w:tc>
      </w:tr>
      <w:tr w:rsidR="0073619C">
        <w:tc>
          <w:tcPr>
            <w:tcW w:w="829" w:type="dxa"/>
            <w:vMerge w:val="restart"/>
            <w:vAlign w:val="center"/>
          </w:tcPr>
          <w:p w:rsidR="0073619C" w:rsidRDefault="00E27BB7">
            <w:pPr>
              <w:jc w:val="center"/>
              <w:rPr>
                <w:sz w:val="24"/>
              </w:rPr>
            </w:pPr>
            <w:r>
              <w:rPr>
                <w:sz w:val="24"/>
              </w:rPr>
              <w:t>技术部分</w:t>
            </w:r>
          </w:p>
          <w:p w:rsidR="0073619C" w:rsidRDefault="00E27BB7">
            <w:pPr>
              <w:jc w:val="center"/>
            </w:pPr>
            <w:r>
              <w:rPr>
                <w:rFonts w:hint="eastAsia"/>
                <w:sz w:val="24"/>
              </w:rPr>
              <w:t>（</w:t>
            </w:r>
            <w:r>
              <w:rPr>
                <w:rFonts w:hint="eastAsia"/>
                <w:sz w:val="24"/>
              </w:rPr>
              <w:t>45</w:t>
            </w:r>
            <w:r>
              <w:rPr>
                <w:rFonts w:hint="eastAsia"/>
                <w:sz w:val="24"/>
              </w:rPr>
              <w:t>分</w:t>
            </w:r>
            <w:r>
              <w:rPr>
                <w:rFonts w:hint="eastAsia"/>
                <w:sz w:val="24"/>
              </w:rPr>
              <w:t>）</w:t>
            </w:r>
          </w:p>
        </w:tc>
        <w:tc>
          <w:tcPr>
            <w:tcW w:w="761" w:type="dxa"/>
            <w:vAlign w:val="center"/>
          </w:tcPr>
          <w:p w:rsidR="0073619C" w:rsidRDefault="00E27BB7">
            <w:pPr>
              <w:jc w:val="center"/>
              <w:rPr>
                <w:sz w:val="24"/>
              </w:rPr>
            </w:pPr>
            <w:r>
              <w:rPr>
                <w:sz w:val="24"/>
              </w:rPr>
              <w:t>保险服务方案</w:t>
            </w:r>
          </w:p>
          <w:p w:rsidR="0073619C" w:rsidRDefault="0073619C">
            <w:pPr>
              <w:jc w:val="center"/>
              <w:rPr>
                <w:sz w:val="24"/>
              </w:rPr>
            </w:pPr>
          </w:p>
        </w:tc>
        <w:tc>
          <w:tcPr>
            <w:tcW w:w="4864" w:type="dxa"/>
          </w:tcPr>
          <w:p w:rsidR="0073619C" w:rsidRDefault="00E27BB7">
            <w:pPr>
              <w:ind w:firstLineChars="200" w:firstLine="420"/>
              <w:jc w:val="left"/>
            </w:pPr>
            <w:r>
              <w:rPr>
                <w:rFonts w:hint="eastAsia"/>
              </w:rPr>
              <w:t>响应供应商</w:t>
            </w:r>
            <w:r>
              <w:t>应根据本项目的服务要求、实施目标和具体特点，</w:t>
            </w:r>
            <w:proofErr w:type="gramStart"/>
            <w:r>
              <w:t>作出</w:t>
            </w:r>
            <w:proofErr w:type="gramEnd"/>
            <w:r>
              <w:t>合理的、可操作的保险服务方案，根据</w:t>
            </w:r>
            <w:r>
              <w:rPr>
                <w:rFonts w:hint="eastAsia"/>
              </w:rPr>
              <w:t>响应供应商</w:t>
            </w:r>
            <w:r>
              <w:t>的保险服务方案进行综合评价：</w:t>
            </w:r>
            <w:r>
              <w:t xml:space="preserve"> </w:t>
            </w:r>
          </w:p>
          <w:p w:rsidR="0073619C" w:rsidRDefault="00E27BB7">
            <w:pPr>
              <w:ind w:firstLineChars="200" w:firstLine="420"/>
              <w:jc w:val="left"/>
            </w:pPr>
            <w:r>
              <w:t>（</w:t>
            </w:r>
            <w:r>
              <w:t>1</w:t>
            </w:r>
            <w:r>
              <w:t>）保险服务方案全面详实，服务承诺内容对本项目有</w:t>
            </w:r>
            <w:r>
              <w:rPr>
                <w:rFonts w:hint="eastAsia"/>
              </w:rPr>
              <w:t>较</w:t>
            </w:r>
            <w:r>
              <w:t>多的实际指导意义或优化效果，具备完善的质量控制措施及完备的特殊情况处理措施，可操作性强，得</w:t>
            </w:r>
            <w:r>
              <w:rPr>
                <w:rFonts w:hint="eastAsia"/>
              </w:rPr>
              <w:t>15</w:t>
            </w:r>
            <w:r>
              <w:t>分；</w:t>
            </w:r>
            <w:r>
              <w:t xml:space="preserve">   </w:t>
            </w:r>
          </w:p>
          <w:p w:rsidR="0073619C" w:rsidRDefault="00E27BB7">
            <w:pPr>
              <w:ind w:firstLineChars="200" w:firstLine="420"/>
              <w:jc w:val="left"/>
            </w:pPr>
            <w:r>
              <w:t>（</w:t>
            </w:r>
            <w:r>
              <w:t>2</w:t>
            </w:r>
            <w:r>
              <w:t>）保险服务方案内容比较完整，服务承诺内容对本项目有一定的指导意义，具备比较完善的质量控制措施和特殊情况处理措施，可操作性</w:t>
            </w:r>
            <w:r>
              <w:rPr>
                <w:rFonts w:hint="eastAsia"/>
              </w:rPr>
              <w:t>较强</w:t>
            </w:r>
            <w:r>
              <w:t>，得</w:t>
            </w:r>
            <w:r>
              <w:rPr>
                <w:rFonts w:hint="eastAsia"/>
              </w:rPr>
              <w:t>9</w:t>
            </w:r>
            <w:r>
              <w:t>分；</w:t>
            </w:r>
          </w:p>
          <w:p w:rsidR="0073619C" w:rsidRDefault="00E27BB7">
            <w:pPr>
              <w:ind w:firstLineChars="200" w:firstLine="420"/>
              <w:jc w:val="left"/>
            </w:pPr>
            <w:r>
              <w:rPr>
                <w:rFonts w:hint="eastAsia"/>
              </w:rPr>
              <w:t>（</w:t>
            </w:r>
            <w:r>
              <w:rPr>
                <w:rFonts w:hint="eastAsia"/>
              </w:rPr>
              <w:t>3</w:t>
            </w:r>
            <w:r>
              <w:rPr>
                <w:rFonts w:hint="eastAsia"/>
              </w:rPr>
              <w:t>）</w:t>
            </w:r>
            <w:r>
              <w:t>服务方案一般，具备较完整的质量控制措施及完备的特殊情况处理措施，可操作性一般，得</w:t>
            </w:r>
            <w:r>
              <w:rPr>
                <w:rFonts w:hint="eastAsia"/>
              </w:rPr>
              <w:t>4</w:t>
            </w:r>
            <w:r>
              <w:t>分</w:t>
            </w:r>
          </w:p>
          <w:p w:rsidR="0073619C" w:rsidRDefault="00E27BB7">
            <w:pPr>
              <w:ind w:firstLineChars="200" w:firstLine="420"/>
              <w:jc w:val="left"/>
            </w:pPr>
            <w:r>
              <w:t xml:space="preserve"> </w:t>
            </w:r>
            <w:r>
              <w:t>（</w:t>
            </w:r>
            <w:r>
              <w:rPr>
                <w:rFonts w:hint="eastAsia"/>
              </w:rPr>
              <w:t>4</w:t>
            </w:r>
            <w:r>
              <w:t>）提供了服务方案，但存在内容不完整或可行性不高或可操作性不强等可能不利于项目实施的情况，得</w:t>
            </w:r>
            <w:r>
              <w:rPr>
                <w:rFonts w:hint="eastAsia"/>
              </w:rPr>
              <w:t>1</w:t>
            </w:r>
            <w:r>
              <w:t>分；</w:t>
            </w:r>
            <w:r>
              <w:t xml:space="preserve">  </w:t>
            </w:r>
          </w:p>
          <w:p w:rsidR="0073619C" w:rsidRDefault="00E27BB7">
            <w:pPr>
              <w:ind w:firstLineChars="200" w:firstLine="420"/>
              <w:jc w:val="left"/>
            </w:pPr>
            <w:r>
              <w:t>（</w:t>
            </w:r>
            <w:r>
              <w:rPr>
                <w:rFonts w:hint="eastAsia"/>
              </w:rPr>
              <w:t>5</w:t>
            </w:r>
            <w:r>
              <w:t>）未提供保险服务方案或提供的服务方案不可行，不得分。</w:t>
            </w:r>
          </w:p>
        </w:tc>
        <w:tc>
          <w:tcPr>
            <w:tcW w:w="782" w:type="dxa"/>
            <w:vAlign w:val="center"/>
          </w:tcPr>
          <w:p w:rsidR="0073619C" w:rsidRDefault="00E27BB7">
            <w:pPr>
              <w:jc w:val="center"/>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rPr>
              <w:t>分</w:t>
            </w:r>
          </w:p>
          <w:p w:rsidR="0073619C" w:rsidRDefault="0073619C">
            <w:pPr>
              <w:jc w:val="center"/>
              <w:rPr>
                <w:sz w:val="24"/>
              </w:rPr>
            </w:pPr>
          </w:p>
        </w:tc>
        <w:tc>
          <w:tcPr>
            <w:tcW w:w="968" w:type="dxa"/>
          </w:tcPr>
          <w:p w:rsidR="0073619C" w:rsidRDefault="0073619C">
            <w:pPr>
              <w:jc w:val="left"/>
            </w:pPr>
          </w:p>
        </w:tc>
      </w:tr>
      <w:tr w:rsidR="0073619C">
        <w:tc>
          <w:tcPr>
            <w:tcW w:w="829" w:type="dxa"/>
            <w:vMerge/>
          </w:tcPr>
          <w:p w:rsidR="0073619C" w:rsidRDefault="0073619C"/>
        </w:tc>
        <w:tc>
          <w:tcPr>
            <w:tcW w:w="761" w:type="dxa"/>
            <w:vAlign w:val="center"/>
          </w:tcPr>
          <w:p w:rsidR="0073619C" w:rsidRDefault="00E27BB7">
            <w:pPr>
              <w:jc w:val="center"/>
              <w:rPr>
                <w:sz w:val="24"/>
              </w:rPr>
            </w:pPr>
            <w:r>
              <w:rPr>
                <w:sz w:val="24"/>
              </w:rPr>
              <w:t>履约能力和售后服务</w:t>
            </w:r>
            <w:r>
              <w:rPr>
                <w:sz w:val="24"/>
              </w:rPr>
              <w:t xml:space="preserve"> </w:t>
            </w:r>
          </w:p>
        </w:tc>
        <w:tc>
          <w:tcPr>
            <w:tcW w:w="4864" w:type="dxa"/>
          </w:tcPr>
          <w:p w:rsidR="0073619C" w:rsidRDefault="00E27BB7">
            <w:pPr>
              <w:ind w:firstLineChars="200" w:firstLine="420"/>
              <w:jc w:val="left"/>
            </w:pPr>
            <w:r>
              <w:t>考查各</w:t>
            </w:r>
            <w:r>
              <w:rPr>
                <w:rFonts w:hint="eastAsia"/>
              </w:rPr>
              <w:t>响应供应商</w:t>
            </w:r>
            <w:r>
              <w:t>“</w:t>
            </w:r>
            <w:r>
              <w:t>医疗责任保险服务</w:t>
            </w:r>
            <w:r>
              <w:t>”</w:t>
            </w:r>
            <w:r>
              <w:t>的履约能力和售后服务能力。</w:t>
            </w:r>
            <w:r>
              <w:rPr>
                <w:rFonts w:hint="eastAsia"/>
              </w:rPr>
              <w:t>响应供应商</w:t>
            </w:r>
            <w:r>
              <w:t>需提供能体现相关保险项目履约能力和售后服务能力的相关证明材料。材料如：</w:t>
            </w:r>
            <w:r>
              <w:rPr>
                <w:rFonts w:hint="eastAsia"/>
              </w:rPr>
              <w:t>响应供应商</w:t>
            </w:r>
            <w:r>
              <w:t>参与医疗纠纷调解的《授权委托书》或《人民调解协议书》复印件</w:t>
            </w:r>
            <w:r>
              <w:rPr>
                <w:rFonts w:hint="eastAsia"/>
              </w:rPr>
              <w:t>、</w:t>
            </w:r>
            <w:r>
              <w:t>认可调解及鉴定结果的保障措施及承诺</w:t>
            </w:r>
            <w:r>
              <w:rPr>
                <w:rFonts w:hint="eastAsia"/>
              </w:rPr>
              <w:t>等</w:t>
            </w:r>
            <w:r>
              <w:t>。</w:t>
            </w:r>
            <w:r>
              <w:t xml:space="preserve"> </w:t>
            </w:r>
            <w:r>
              <w:t>注：每一符合要求的证明材料得</w:t>
            </w:r>
            <w:r>
              <w:t>6</w:t>
            </w:r>
            <w:r>
              <w:t>分，本项满分</w:t>
            </w:r>
            <w:r>
              <w:t>30</w:t>
            </w:r>
            <w:r>
              <w:t>分，未能提供相关证明材料的不得分。</w:t>
            </w:r>
          </w:p>
        </w:tc>
        <w:tc>
          <w:tcPr>
            <w:tcW w:w="782" w:type="dxa"/>
            <w:vAlign w:val="center"/>
          </w:tcPr>
          <w:p w:rsidR="0073619C" w:rsidRDefault="00E27BB7">
            <w:pPr>
              <w:jc w:val="center"/>
            </w:pPr>
            <w:r>
              <w:rPr>
                <w:rFonts w:ascii="宋体" w:eastAsia="宋体" w:hAnsi="宋体" w:cs="宋体" w:hint="eastAsia"/>
                <w:sz w:val="24"/>
              </w:rPr>
              <w:t>30</w:t>
            </w:r>
            <w:r>
              <w:rPr>
                <w:rFonts w:ascii="宋体" w:eastAsia="宋体" w:hAnsi="宋体" w:cs="宋体" w:hint="eastAsia"/>
                <w:sz w:val="24"/>
              </w:rPr>
              <w:t>分</w:t>
            </w:r>
          </w:p>
        </w:tc>
        <w:tc>
          <w:tcPr>
            <w:tcW w:w="968" w:type="dxa"/>
          </w:tcPr>
          <w:p w:rsidR="0073619C" w:rsidRDefault="0073619C">
            <w:pPr>
              <w:jc w:val="left"/>
            </w:pPr>
          </w:p>
        </w:tc>
      </w:tr>
      <w:tr w:rsidR="0073619C">
        <w:tc>
          <w:tcPr>
            <w:tcW w:w="829" w:type="dxa"/>
            <w:vMerge w:val="restart"/>
            <w:vAlign w:val="center"/>
          </w:tcPr>
          <w:p w:rsidR="0073619C" w:rsidRDefault="00E27BB7">
            <w:pPr>
              <w:jc w:val="center"/>
              <w:rPr>
                <w:sz w:val="24"/>
              </w:rPr>
            </w:pPr>
            <w:r>
              <w:rPr>
                <w:sz w:val="24"/>
              </w:rPr>
              <w:t>商务部分</w:t>
            </w:r>
          </w:p>
          <w:p w:rsidR="0073619C" w:rsidRDefault="00E27BB7">
            <w:pPr>
              <w:jc w:val="center"/>
            </w:pPr>
            <w:r>
              <w:rPr>
                <w:rFonts w:hint="eastAsia"/>
                <w:sz w:val="24"/>
              </w:rPr>
              <w:t>（</w:t>
            </w:r>
            <w:r>
              <w:rPr>
                <w:rFonts w:hint="eastAsia"/>
                <w:sz w:val="24"/>
              </w:rPr>
              <w:t>40</w:t>
            </w:r>
            <w:r>
              <w:rPr>
                <w:rFonts w:hint="eastAsia"/>
                <w:sz w:val="24"/>
              </w:rPr>
              <w:t>分</w:t>
            </w:r>
            <w:r>
              <w:rPr>
                <w:rFonts w:hint="eastAsia"/>
                <w:sz w:val="24"/>
              </w:rPr>
              <w:t>）</w:t>
            </w:r>
          </w:p>
        </w:tc>
        <w:tc>
          <w:tcPr>
            <w:tcW w:w="761" w:type="dxa"/>
            <w:vAlign w:val="center"/>
          </w:tcPr>
          <w:p w:rsidR="0073619C" w:rsidRDefault="00E27BB7">
            <w:pPr>
              <w:jc w:val="center"/>
              <w:rPr>
                <w:rFonts w:ascii="宋体" w:eastAsia="宋体" w:hAnsi="宋体" w:cs="宋体"/>
                <w:sz w:val="24"/>
              </w:rPr>
            </w:pPr>
            <w:r>
              <w:rPr>
                <w:rFonts w:ascii="宋体" w:eastAsia="宋体" w:hAnsi="宋体" w:cs="宋体" w:hint="eastAsia"/>
                <w:sz w:val="24"/>
              </w:rPr>
              <w:t>同类项目服务或承保经验</w:t>
            </w:r>
          </w:p>
        </w:tc>
        <w:tc>
          <w:tcPr>
            <w:tcW w:w="4864" w:type="dxa"/>
          </w:tcPr>
          <w:p w:rsidR="0073619C" w:rsidRDefault="00E27BB7">
            <w:pPr>
              <w:ind w:firstLineChars="200" w:firstLine="420"/>
              <w:jc w:val="left"/>
            </w:pPr>
            <w:r>
              <w:t>根据</w:t>
            </w:r>
            <w:r>
              <w:rPr>
                <w:rFonts w:hint="eastAsia"/>
              </w:rPr>
              <w:t>响应供应商</w:t>
            </w:r>
            <w:r>
              <w:t>自</w:t>
            </w:r>
            <w:r>
              <w:t>20</w:t>
            </w:r>
            <w:r>
              <w:rPr>
                <w:rFonts w:hint="eastAsia"/>
              </w:rPr>
              <w:t>20</w:t>
            </w:r>
            <w:r>
              <w:t>年</w:t>
            </w:r>
            <w:r>
              <w:t>1</w:t>
            </w:r>
            <w:r>
              <w:t>月</w:t>
            </w:r>
            <w:r>
              <w:t>1</w:t>
            </w:r>
            <w:r>
              <w:t>日以来承保</w:t>
            </w:r>
            <w:r>
              <w:rPr>
                <w:color w:val="000000" w:themeColor="text1"/>
              </w:rPr>
              <w:t>过</w:t>
            </w:r>
            <w:r>
              <w:rPr>
                <w:rFonts w:hint="eastAsia"/>
                <w:color w:val="000000" w:themeColor="text1"/>
              </w:rPr>
              <w:t>二级或以上医疗机构</w:t>
            </w:r>
            <w:r>
              <w:rPr>
                <w:rFonts w:hint="eastAsia"/>
                <w:color w:val="000000" w:themeColor="text1"/>
              </w:rPr>
              <w:t>的</w:t>
            </w:r>
            <w:r>
              <w:rPr>
                <w:color w:val="000000" w:themeColor="text1"/>
              </w:rPr>
              <w:t>医疗责任保险项目经验情况进行评审：每项</w:t>
            </w:r>
            <w:r>
              <w:rPr>
                <w:rFonts w:hint="eastAsia"/>
                <w:color w:val="000000" w:themeColor="text1"/>
              </w:rPr>
              <w:t>二级或以上医疗机构</w:t>
            </w:r>
            <w:r>
              <w:rPr>
                <w:rFonts w:hint="eastAsia"/>
                <w:color w:val="000000" w:themeColor="text1"/>
              </w:rPr>
              <w:t>的</w:t>
            </w:r>
            <w:r>
              <w:rPr>
                <w:color w:val="000000" w:themeColor="text1"/>
              </w:rPr>
              <w:t>医疗责任保险项目服务或承保经验得</w:t>
            </w:r>
            <w:r>
              <w:rPr>
                <w:rFonts w:hint="eastAsia"/>
                <w:color w:val="000000" w:themeColor="text1"/>
              </w:rPr>
              <w:t>2</w:t>
            </w:r>
            <w:r>
              <w:rPr>
                <w:color w:val="000000" w:themeColor="text1"/>
              </w:rPr>
              <w:t>分，满分不超</w:t>
            </w:r>
            <w:r>
              <w:t>过</w:t>
            </w:r>
            <w:r>
              <w:rPr>
                <w:rFonts w:hint="eastAsia"/>
              </w:rPr>
              <w:t>30</w:t>
            </w:r>
            <w:r>
              <w:t>分。</w:t>
            </w:r>
            <w:r>
              <w:t xml:space="preserve">  </w:t>
            </w:r>
          </w:p>
          <w:p w:rsidR="0073619C" w:rsidRDefault="00E27BB7">
            <w:pPr>
              <w:ind w:firstLineChars="200" w:firstLine="420"/>
              <w:jc w:val="left"/>
            </w:pPr>
            <w:r>
              <w:t>注：</w:t>
            </w:r>
            <w:r>
              <w:t>①</w:t>
            </w:r>
            <w:r>
              <w:rPr>
                <w:rFonts w:hint="eastAsia"/>
              </w:rPr>
              <w:t>响应供应商</w:t>
            </w:r>
            <w:r>
              <w:t>需提供所服务的医疗机构的保单复印件或中标、成交采购合同</w:t>
            </w:r>
            <w:r>
              <w:rPr>
                <w:rFonts w:hint="eastAsia"/>
              </w:rPr>
              <w:t>关键页</w:t>
            </w:r>
            <w:r>
              <w:t>复印件，同一医疗机构不同保险期限的只按一项承保经验计算；承保主体必须与</w:t>
            </w:r>
            <w:r>
              <w:rPr>
                <w:rFonts w:hint="eastAsia"/>
              </w:rPr>
              <w:t>响应供应商</w:t>
            </w:r>
            <w:r>
              <w:t>为同一人，承保主</w:t>
            </w:r>
            <w:r>
              <w:lastRenderedPageBreak/>
              <w:t>体与</w:t>
            </w:r>
            <w:proofErr w:type="gramStart"/>
            <w:r>
              <w:rPr>
                <w:rFonts w:hint="eastAsia"/>
              </w:rPr>
              <w:t>供应商</w:t>
            </w:r>
            <w:r>
              <w:t>非同</w:t>
            </w:r>
            <w:proofErr w:type="gramEnd"/>
            <w:r>
              <w:t>一人的不予计算）</w:t>
            </w:r>
            <w:r>
              <w:t xml:space="preserve"> ②</w:t>
            </w:r>
            <w:r>
              <w:rPr>
                <w:rFonts w:hint="eastAsia"/>
              </w:rPr>
              <w:t>响应供应商</w:t>
            </w:r>
            <w:r>
              <w:t>应在投标文件中提供相关证明文件复印件（加盖公章），如</w:t>
            </w:r>
            <w:proofErr w:type="gramStart"/>
            <w:r>
              <w:t>实列</w:t>
            </w:r>
            <w:proofErr w:type="gramEnd"/>
            <w:r>
              <w:t>明医院等级，否则不得分。</w:t>
            </w:r>
            <w:r>
              <w:t xml:space="preserve"> ③</w:t>
            </w:r>
            <w:r>
              <w:t>如果</w:t>
            </w:r>
            <w:r>
              <w:rPr>
                <w:rFonts w:hint="eastAsia"/>
              </w:rPr>
              <w:t>响应供应商</w:t>
            </w:r>
            <w:r>
              <w:t>为</w:t>
            </w:r>
            <w:r>
              <w:rPr>
                <w:rFonts w:hint="eastAsia"/>
              </w:rPr>
              <w:t>分公司或</w:t>
            </w:r>
            <w:r>
              <w:t>分支机构的，只计算该</w:t>
            </w:r>
            <w:r>
              <w:rPr>
                <w:rFonts w:hint="eastAsia"/>
              </w:rPr>
              <w:t>分公司或</w:t>
            </w:r>
            <w:r>
              <w:t>分支机构的上述服务经验。</w:t>
            </w:r>
          </w:p>
        </w:tc>
        <w:tc>
          <w:tcPr>
            <w:tcW w:w="782" w:type="dxa"/>
            <w:vAlign w:val="center"/>
          </w:tcPr>
          <w:p w:rsidR="0073619C" w:rsidRDefault="00E27BB7">
            <w:pPr>
              <w:jc w:val="center"/>
            </w:pPr>
            <w:r>
              <w:rPr>
                <w:rFonts w:ascii="宋体" w:eastAsia="宋体" w:hAnsi="宋体" w:cs="宋体" w:hint="eastAsia"/>
                <w:sz w:val="24"/>
              </w:rPr>
              <w:lastRenderedPageBreak/>
              <w:t>30</w:t>
            </w:r>
            <w:r>
              <w:rPr>
                <w:rFonts w:ascii="宋体" w:eastAsia="宋体" w:hAnsi="宋体" w:cs="宋体" w:hint="eastAsia"/>
                <w:sz w:val="24"/>
              </w:rPr>
              <w:t>分</w:t>
            </w:r>
          </w:p>
        </w:tc>
        <w:tc>
          <w:tcPr>
            <w:tcW w:w="968" w:type="dxa"/>
          </w:tcPr>
          <w:p w:rsidR="0073619C" w:rsidRDefault="0073619C">
            <w:pPr>
              <w:jc w:val="left"/>
            </w:pPr>
          </w:p>
        </w:tc>
      </w:tr>
      <w:tr w:rsidR="0073619C">
        <w:tc>
          <w:tcPr>
            <w:tcW w:w="829" w:type="dxa"/>
            <w:vMerge/>
          </w:tcPr>
          <w:p w:rsidR="0073619C" w:rsidRDefault="0073619C"/>
        </w:tc>
        <w:tc>
          <w:tcPr>
            <w:tcW w:w="761" w:type="dxa"/>
            <w:vAlign w:val="center"/>
          </w:tcPr>
          <w:p w:rsidR="0073619C" w:rsidRDefault="00E27BB7">
            <w:pPr>
              <w:jc w:val="center"/>
              <w:rPr>
                <w:rFonts w:ascii="宋体" w:eastAsia="宋体" w:hAnsi="宋体" w:cs="宋体"/>
                <w:sz w:val="24"/>
              </w:rPr>
            </w:pPr>
            <w:r>
              <w:rPr>
                <w:rFonts w:ascii="宋体" w:eastAsia="宋体" w:hAnsi="宋体" w:cs="宋体" w:hint="eastAsia"/>
                <w:sz w:val="24"/>
              </w:rPr>
              <w:t>服务人员配置</w:t>
            </w:r>
          </w:p>
          <w:p w:rsidR="0073619C" w:rsidRDefault="00E27BB7">
            <w:pPr>
              <w:jc w:val="center"/>
            </w:pPr>
            <w:r>
              <w:rPr>
                <w:rFonts w:ascii="宋体" w:eastAsia="宋体" w:hAnsi="宋体" w:cs="宋体" w:hint="eastAsia"/>
                <w:sz w:val="24"/>
              </w:rPr>
              <w:t xml:space="preserve"> </w:t>
            </w:r>
          </w:p>
        </w:tc>
        <w:tc>
          <w:tcPr>
            <w:tcW w:w="4864" w:type="dxa"/>
          </w:tcPr>
          <w:p w:rsidR="0073619C" w:rsidRDefault="00E27BB7">
            <w:pPr>
              <w:ind w:firstLineChars="200" w:firstLine="420"/>
              <w:jc w:val="left"/>
            </w:pPr>
            <w:r>
              <w:t>根据</w:t>
            </w:r>
            <w:r>
              <w:rPr>
                <w:rFonts w:hint="eastAsia"/>
              </w:rPr>
              <w:t>响应供应商</w:t>
            </w:r>
            <w:r>
              <w:t>拟投入本项目的服务人员配备情况进行综合评价：</w:t>
            </w:r>
            <w:r>
              <w:t xml:space="preserve"> </w:t>
            </w:r>
          </w:p>
          <w:p w:rsidR="0073619C" w:rsidRDefault="00E27BB7">
            <w:pPr>
              <w:ind w:firstLineChars="200" w:firstLine="420"/>
              <w:jc w:val="left"/>
            </w:pPr>
            <w:r>
              <w:rPr>
                <w:rFonts w:hint="eastAsia"/>
              </w:rPr>
              <w:t>（</w:t>
            </w:r>
            <w:r>
              <w:rPr>
                <w:rFonts w:hint="eastAsia"/>
              </w:rPr>
              <w:t>1</w:t>
            </w:r>
            <w:r>
              <w:rPr>
                <w:rFonts w:hint="eastAsia"/>
              </w:rPr>
              <w:t>）</w:t>
            </w:r>
            <w:r>
              <w:t>服务人员配置方案完善，投入医学、保险、法律相关专业背景（大专</w:t>
            </w:r>
            <w:r>
              <w:t>/</w:t>
            </w:r>
            <w:r>
              <w:t>大专以上学历；或初级</w:t>
            </w:r>
            <w:r>
              <w:t>/</w:t>
            </w:r>
            <w:r>
              <w:t>初级以上职称）的服务人员，</w:t>
            </w:r>
            <w:proofErr w:type="gramStart"/>
            <w:r>
              <w:t>且人员</w:t>
            </w:r>
            <w:proofErr w:type="gramEnd"/>
            <w:r>
              <w:t>构成科学合理，职责分工明确，管理方案详实，得</w:t>
            </w:r>
            <w:r>
              <w:rPr>
                <w:rFonts w:hint="eastAsia"/>
              </w:rPr>
              <w:t>10</w:t>
            </w:r>
            <w:r>
              <w:t>分。</w:t>
            </w:r>
            <w:r>
              <w:t xml:space="preserve"> </w:t>
            </w:r>
          </w:p>
          <w:p w:rsidR="0073619C" w:rsidRDefault="00E27BB7">
            <w:pPr>
              <w:ind w:firstLineChars="200" w:firstLine="420"/>
              <w:jc w:val="left"/>
            </w:pPr>
            <w:r>
              <w:t>（</w:t>
            </w:r>
            <w:r>
              <w:t>2</w:t>
            </w:r>
            <w:r>
              <w:t>）服务人员配置方案比较完善，投入医学、保险、法律相关专业背景（大专</w:t>
            </w:r>
            <w:r>
              <w:t>/</w:t>
            </w:r>
            <w:r>
              <w:t>大专以上学历；或初级</w:t>
            </w:r>
            <w:r>
              <w:t>/</w:t>
            </w:r>
            <w:r>
              <w:t>初级以上职称）的服务人员，人员构成较合理，职责分工比较明确，管理方案基本详实，得</w:t>
            </w:r>
            <w:r>
              <w:rPr>
                <w:rFonts w:hint="eastAsia"/>
              </w:rPr>
              <w:t>6</w:t>
            </w:r>
            <w:r>
              <w:t>分；</w:t>
            </w:r>
            <w:r>
              <w:t xml:space="preserve"> </w:t>
            </w:r>
          </w:p>
          <w:p w:rsidR="0073619C" w:rsidRDefault="00E27BB7">
            <w:pPr>
              <w:ind w:firstLineChars="200" w:firstLine="420"/>
              <w:jc w:val="left"/>
            </w:pPr>
            <w:r>
              <w:t>（</w:t>
            </w:r>
            <w:r>
              <w:t>3</w:t>
            </w:r>
            <w:r>
              <w:t>）服务人员配置方案不完善，人员配置有欠缺，合理性一般的，得</w:t>
            </w:r>
            <w:r>
              <w:rPr>
                <w:rFonts w:hint="eastAsia"/>
              </w:rPr>
              <w:t>2</w:t>
            </w:r>
            <w:r>
              <w:t>分。</w:t>
            </w:r>
            <w:r>
              <w:t xml:space="preserve"> </w:t>
            </w:r>
          </w:p>
          <w:p w:rsidR="0073619C" w:rsidRDefault="00E27BB7">
            <w:pPr>
              <w:ind w:firstLineChars="200" w:firstLine="420"/>
              <w:jc w:val="left"/>
            </w:pPr>
            <w:r>
              <w:t>（</w:t>
            </w:r>
            <w:r>
              <w:t>4</w:t>
            </w:r>
            <w:r>
              <w:t>）未提供人员配置方案或其它情况的，得</w:t>
            </w:r>
            <w:r>
              <w:t>0</w:t>
            </w:r>
            <w:r>
              <w:t>分。</w:t>
            </w:r>
            <w:r>
              <w:t xml:space="preserve"> </w:t>
            </w:r>
          </w:p>
          <w:p w:rsidR="0073619C" w:rsidRDefault="00E27BB7">
            <w:pPr>
              <w:ind w:firstLineChars="200" w:firstLine="420"/>
              <w:jc w:val="left"/>
            </w:pPr>
            <w:r>
              <w:t>注：以上最高得</w:t>
            </w:r>
            <w:r>
              <w:rPr>
                <w:rFonts w:hint="eastAsia"/>
              </w:rPr>
              <w:t>10</w:t>
            </w:r>
            <w:r>
              <w:t>分，需提供上述人</w:t>
            </w:r>
            <w:r>
              <w:t>员的职业资格职称证书或执业资格证书复印件（加盖公章）及投标截止时间前六个月内任意一个月的</w:t>
            </w:r>
            <w:proofErr w:type="gramStart"/>
            <w:r>
              <w:t>社保证明</w:t>
            </w:r>
            <w:proofErr w:type="gramEnd"/>
            <w:r>
              <w:t>材料，不提供不得分。</w:t>
            </w:r>
          </w:p>
        </w:tc>
        <w:tc>
          <w:tcPr>
            <w:tcW w:w="782" w:type="dxa"/>
            <w:vAlign w:val="center"/>
          </w:tcPr>
          <w:p w:rsidR="0073619C" w:rsidRDefault="00E27BB7">
            <w:pPr>
              <w:jc w:val="center"/>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分</w:t>
            </w:r>
          </w:p>
        </w:tc>
        <w:tc>
          <w:tcPr>
            <w:tcW w:w="968" w:type="dxa"/>
          </w:tcPr>
          <w:p w:rsidR="0073619C" w:rsidRDefault="0073619C">
            <w:pPr>
              <w:jc w:val="left"/>
            </w:pPr>
          </w:p>
        </w:tc>
      </w:tr>
      <w:tr w:rsidR="0073619C">
        <w:tc>
          <w:tcPr>
            <w:tcW w:w="829" w:type="dxa"/>
            <w:vAlign w:val="center"/>
          </w:tcPr>
          <w:p w:rsidR="0073619C" w:rsidRDefault="00E27BB7">
            <w:pPr>
              <w:jc w:val="center"/>
              <w:rPr>
                <w:sz w:val="24"/>
              </w:rPr>
            </w:pPr>
            <w:r>
              <w:rPr>
                <w:rFonts w:hint="eastAsia"/>
                <w:sz w:val="24"/>
              </w:rPr>
              <w:t>投标报价</w:t>
            </w:r>
          </w:p>
          <w:p w:rsidR="0073619C" w:rsidRDefault="00E27BB7">
            <w:pPr>
              <w:jc w:val="center"/>
            </w:pPr>
            <w:r>
              <w:rPr>
                <w:rFonts w:hint="eastAsia"/>
                <w:sz w:val="24"/>
              </w:rPr>
              <w:t>（</w:t>
            </w:r>
            <w:r>
              <w:rPr>
                <w:rFonts w:hint="eastAsia"/>
                <w:sz w:val="24"/>
              </w:rPr>
              <w:t>15</w:t>
            </w:r>
            <w:r>
              <w:rPr>
                <w:rFonts w:hint="eastAsia"/>
                <w:sz w:val="24"/>
              </w:rPr>
              <w:t>分</w:t>
            </w:r>
            <w:r>
              <w:rPr>
                <w:rFonts w:hint="eastAsia"/>
                <w:sz w:val="24"/>
              </w:rPr>
              <w:t>）</w:t>
            </w:r>
          </w:p>
        </w:tc>
        <w:tc>
          <w:tcPr>
            <w:tcW w:w="761" w:type="dxa"/>
            <w:vAlign w:val="center"/>
          </w:tcPr>
          <w:p w:rsidR="0073619C" w:rsidRDefault="00E27BB7">
            <w:pPr>
              <w:jc w:val="center"/>
              <w:rPr>
                <w:sz w:val="24"/>
              </w:rPr>
            </w:pPr>
            <w:r>
              <w:rPr>
                <w:sz w:val="24"/>
              </w:rPr>
              <w:t>投标报价得分</w:t>
            </w:r>
          </w:p>
        </w:tc>
        <w:tc>
          <w:tcPr>
            <w:tcW w:w="4864" w:type="dxa"/>
          </w:tcPr>
          <w:p w:rsidR="0073619C" w:rsidRDefault="00E27BB7">
            <w:pPr>
              <w:ind w:firstLineChars="200" w:firstLine="420"/>
              <w:jc w:val="left"/>
            </w:pPr>
            <w:r>
              <w:t>投标报价得分＝（评标基准价</w:t>
            </w:r>
            <w:r>
              <w:t>/</w:t>
            </w:r>
            <w:r>
              <w:t>投标报价）</w:t>
            </w:r>
            <w:r>
              <w:t>×</w:t>
            </w:r>
            <w:r>
              <w:t>价格分值</w:t>
            </w:r>
          </w:p>
          <w:p w:rsidR="0073619C" w:rsidRDefault="00E27BB7">
            <w:pPr>
              <w:ind w:firstLineChars="200" w:firstLine="420"/>
              <w:jc w:val="left"/>
            </w:pPr>
            <w:r>
              <w:t>【注：满足招标文件要求且投标价格最低的投标报价为评标基准价。】最低报价不是中标的唯一依据。</w:t>
            </w:r>
          </w:p>
        </w:tc>
        <w:tc>
          <w:tcPr>
            <w:tcW w:w="782" w:type="dxa"/>
            <w:vAlign w:val="center"/>
          </w:tcPr>
          <w:p w:rsidR="0073619C" w:rsidRDefault="00E27BB7">
            <w:pPr>
              <w:jc w:val="center"/>
            </w:pPr>
            <w:r>
              <w:rPr>
                <w:rFonts w:ascii="宋体" w:eastAsia="宋体" w:hAnsi="宋体" w:cs="宋体" w:hint="eastAsia"/>
                <w:sz w:val="24"/>
              </w:rPr>
              <w:t>15</w:t>
            </w:r>
            <w:r>
              <w:rPr>
                <w:rFonts w:ascii="宋体" w:eastAsia="宋体" w:hAnsi="宋体" w:cs="宋体" w:hint="eastAsia"/>
                <w:sz w:val="24"/>
              </w:rPr>
              <w:t>分</w:t>
            </w:r>
          </w:p>
        </w:tc>
        <w:tc>
          <w:tcPr>
            <w:tcW w:w="968" w:type="dxa"/>
          </w:tcPr>
          <w:p w:rsidR="0073619C" w:rsidRDefault="0073619C">
            <w:pPr>
              <w:jc w:val="left"/>
            </w:pPr>
          </w:p>
        </w:tc>
      </w:tr>
    </w:tbl>
    <w:p w:rsidR="0073619C" w:rsidRDefault="0073619C"/>
    <w:sectPr w:rsidR="007361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B7" w:rsidRDefault="00E27BB7">
      <w:r>
        <w:separator/>
      </w:r>
    </w:p>
  </w:endnote>
  <w:endnote w:type="continuationSeparator" w:id="0">
    <w:p w:rsidR="00E27BB7" w:rsidRDefault="00E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9C" w:rsidRDefault="00E27BB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619C" w:rsidRDefault="00E27BB7">
                          <w:pPr>
                            <w:pStyle w:val="a3"/>
                          </w:pPr>
                          <w:r>
                            <w:fldChar w:fldCharType="begin"/>
                          </w:r>
                          <w:r>
                            <w:instrText xml:space="preserve"> PAGE  \* MERGEFORMAT </w:instrText>
                          </w:r>
                          <w:r>
                            <w:fldChar w:fldCharType="separate"/>
                          </w:r>
                          <w:r w:rsidR="002B41A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619C" w:rsidRDefault="00E27BB7">
                    <w:pPr>
                      <w:pStyle w:val="a3"/>
                    </w:pPr>
                    <w:r>
                      <w:fldChar w:fldCharType="begin"/>
                    </w:r>
                    <w:r>
                      <w:instrText xml:space="preserve"> PAGE  \* MERGEFORMAT </w:instrText>
                    </w:r>
                    <w:r>
                      <w:fldChar w:fldCharType="separate"/>
                    </w:r>
                    <w:r w:rsidR="002B41A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B7" w:rsidRDefault="00E27BB7">
      <w:r>
        <w:separator/>
      </w:r>
    </w:p>
  </w:footnote>
  <w:footnote w:type="continuationSeparator" w:id="0">
    <w:p w:rsidR="00E27BB7" w:rsidRDefault="00E27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mI1MDI3YTgyMjZjYzM3YjU1ZTQ1NTdiYWUyNDYifQ=="/>
  </w:docVars>
  <w:rsids>
    <w:rsidRoot w:val="0073619C"/>
    <w:rsid w:val="002B41AF"/>
    <w:rsid w:val="004379A2"/>
    <w:rsid w:val="0073619C"/>
    <w:rsid w:val="00E27BB7"/>
    <w:rsid w:val="0372699B"/>
    <w:rsid w:val="03FD31CB"/>
    <w:rsid w:val="04653BF5"/>
    <w:rsid w:val="0A047005"/>
    <w:rsid w:val="1AD1273B"/>
    <w:rsid w:val="27363334"/>
    <w:rsid w:val="2A6308E4"/>
    <w:rsid w:val="465B6AFA"/>
    <w:rsid w:val="511641BA"/>
    <w:rsid w:val="53F70EB0"/>
    <w:rsid w:val="573736D1"/>
    <w:rsid w:val="59E3506F"/>
    <w:rsid w:val="5CFF02E1"/>
    <w:rsid w:val="61AA7286"/>
    <w:rsid w:val="67122BD6"/>
    <w:rsid w:val="68AD6E5D"/>
    <w:rsid w:val="69342E70"/>
    <w:rsid w:val="6A9D63B4"/>
    <w:rsid w:val="791C12DF"/>
    <w:rsid w:val="79F334F9"/>
    <w:rsid w:val="7A492DB0"/>
    <w:rsid w:val="7F92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何烷桦</cp:lastModifiedBy>
  <cp:revision>2</cp:revision>
  <dcterms:created xsi:type="dcterms:W3CDTF">2025-05-06T07:14:00Z</dcterms:created>
  <dcterms:modified xsi:type="dcterms:W3CDTF">2025-05-06T07:14:00Z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250D6850E7944E3EB763C643A22E3551</vt:lpwstr>
  </property>
</Properties>
</file>