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C93" w:rsidRDefault="00872DFB">
      <w:pPr>
        <w:pStyle w:val="a3"/>
        <w:snapToGrid w:val="0"/>
        <w:spacing w:line="240" w:lineRule="atLeast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购买《门（急）诊诊疗信息页管理系统》评分标准</w:t>
      </w:r>
    </w:p>
    <w:tbl>
      <w:tblPr>
        <w:tblW w:w="499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762"/>
        <w:gridCol w:w="774"/>
        <w:gridCol w:w="6558"/>
      </w:tblGrid>
      <w:tr w:rsidR="00DA3C93">
        <w:tc>
          <w:tcPr>
            <w:tcW w:w="242" w:type="pct"/>
            <w:tcBorders>
              <w:top w:val="single" w:sz="6" w:space="0" w:color="000008"/>
              <w:left w:val="single" w:sz="6" w:space="0" w:color="000008"/>
              <w:bottom w:val="single" w:sz="6" w:space="0" w:color="000008"/>
              <w:right w:val="single" w:sz="6" w:space="0" w:color="000008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3C93" w:rsidRDefault="00872DFB">
            <w:pPr>
              <w:pStyle w:val="a3"/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450" w:type="pct"/>
            <w:tcBorders>
              <w:top w:val="single" w:sz="6" w:space="0" w:color="000008"/>
              <w:left w:val="single" w:sz="6" w:space="0" w:color="000008"/>
              <w:bottom w:val="single" w:sz="6" w:space="0" w:color="000008"/>
              <w:right w:val="single" w:sz="6" w:space="0" w:color="000008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3C93" w:rsidRDefault="00872DFB">
            <w:pPr>
              <w:pStyle w:val="a3"/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内容</w:t>
            </w:r>
          </w:p>
        </w:tc>
        <w:tc>
          <w:tcPr>
            <w:tcW w:w="457" w:type="pct"/>
            <w:tcBorders>
              <w:top w:val="single" w:sz="6" w:space="0" w:color="000008"/>
              <w:left w:val="single" w:sz="6" w:space="0" w:color="000008"/>
              <w:bottom w:val="single" w:sz="6" w:space="0" w:color="000008"/>
              <w:right w:val="single" w:sz="6" w:space="0" w:color="000008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3C93" w:rsidRDefault="00872DFB">
            <w:pPr>
              <w:pStyle w:val="a3"/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分值</w:t>
            </w:r>
          </w:p>
        </w:tc>
        <w:tc>
          <w:tcPr>
            <w:tcW w:w="3849" w:type="pct"/>
            <w:tcBorders>
              <w:top w:val="single" w:sz="6" w:space="0" w:color="000008"/>
              <w:left w:val="single" w:sz="6" w:space="0" w:color="000008"/>
              <w:bottom w:val="single" w:sz="6" w:space="0" w:color="000008"/>
              <w:right w:val="single" w:sz="6" w:space="0" w:color="000008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3C93" w:rsidRDefault="00872DFB">
            <w:pPr>
              <w:pStyle w:val="a3"/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备注</w:t>
            </w:r>
          </w:p>
        </w:tc>
      </w:tr>
      <w:tr w:rsidR="00DA3C93">
        <w:trPr>
          <w:trHeight w:val="460"/>
        </w:trPr>
        <w:tc>
          <w:tcPr>
            <w:tcW w:w="242" w:type="pct"/>
            <w:tcBorders>
              <w:top w:val="single" w:sz="6" w:space="0" w:color="000008"/>
              <w:left w:val="single" w:sz="6" w:space="0" w:color="000008"/>
              <w:bottom w:val="single" w:sz="6" w:space="0" w:color="000008"/>
              <w:right w:val="single" w:sz="6" w:space="0" w:color="000008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3C93" w:rsidRDefault="00872DFB">
            <w:pPr>
              <w:pStyle w:val="a3"/>
              <w:snapToGrid w:val="0"/>
              <w:spacing w:line="240" w:lineRule="atLeas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8"/>
              <w:left w:val="single" w:sz="6" w:space="0" w:color="000008"/>
              <w:bottom w:val="single" w:sz="6" w:space="0" w:color="000008"/>
              <w:right w:val="single" w:sz="6" w:space="0" w:color="000008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3C93" w:rsidRDefault="00872DFB">
            <w:pPr>
              <w:pStyle w:val="a3"/>
              <w:snapToGrid w:val="0"/>
              <w:spacing w:line="240" w:lineRule="atLeas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报价得分（</w:t>
            </w:r>
            <w:r>
              <w:rPr>
                <w:rFonts w:hint="eastAsia"/>
                <w:color w:val="000000"/>
                <w:sz w:val="21"/>
                <w:szCs w:val="21"/>
              </w:rPr>
              <w:t>10</w:t>
            </w:r>
            <w:r>
              <w:rPr>
                <w:rFonts w:hint="eastAsia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457" w:type="pct"/>
            <w:tcBorders>
              <w:top w:val="single" w:sz="6" w:space="0" w:color="000008"/>
              <w:left w:val="single" w:sz="6" w:space="0" w:color="000008"/>
              <w:bottom w:val="single" w:sz="6" w:space="0" w:color="000008"/>
              <w:right w:val="single" w:sz="6" w:space="0" w:color="000008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3C93" w:rsidRDefault="00872DFB">
            <w:pPr>
              <w:pStyle w:val="a3"/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</w:t>
            </w:r>
            <w:r>
              <w:rPr>
                <w:rFonts w:hint="eastAsia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3849" w:type="pct"/>
            <w:tcBorders>
              <w:top w:val="single" w:sz="6" w:space="0" w:color="000008"/>
              <w:left w:val="single" w:sz="6" w:space="0" w:color="000008"/>
              <w:bottom w:val="single" w:sz="6" w:space="0" w:color="000008"/>
              <w:right w:val="single" w:sz="6" w:space="0" w:color="000008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3C93" w:rsidRDefault="00872DFB">
            <w:pPr>
              <w:pStyle w:val="a3"/>
              <w:snapToGrid w:val="0"/>
              <w:spacing w:line="240" w:lineRule="atLeas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满足招标文件要求且报价最低的有效投标报价为评标基准价，其价格分为满分。</w:t>
            </w:r>
          </w:p>
          <w:p w:rsidR="00DA3C93" w:rsidRDefault="00872DFB">
            <w:pPr>
              <w:pStyle w:val="a3"/>
              <w:snapToGrid w:val="0"/>
              <w:spacing w:line="240" w:lineRule="atLeas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其他投标人的价格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分统一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按照下列公式计算：投标报价得分</w:t>
            </w:r>
            <w:r>
              <w:rPr>
                <w:rFonts w:hint="eastAsia"/>
                <w:color w:val="000000"/>
                <w:sz w:val="21"/>
                <w:szCs w:val="21"/>
              </w:rPr>
              <w:t>=</w:t>
            </w:r>
            <w:r>
              <w:rPr>
                <w:rFonts w:hint="eastAsia"/>
                <w:color w:val="000000"/>
                <w:sz w:val="21"/>
                <w:szCs w:val="21"/>
              </w:rPr>
              <w:t>（评标基准价</w:t>
            </w:r>
            <w:r>
              <w:rPr>
                <w:rFonts w:hint="eastAsia"/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投标报价）×</w:t>
            </w:r>
            <w:r>
              <w:rPr>
                <w:rFonts w:hint="eastAsia"/>
                <w:color w:val="000000"/>
                <w:sz w:val="21"/>
                <w:szCs w:val="21"/>
              </w:rPr>
              <w:t>10</w:t>
            </w:r>
            <w:r>
              <w:rPr>
                <w:rFonts w:hint="eastAsia"/>
                <w:color w:val="000000"/>
                <w:sz w:val="21"/>
                <w:szCs w:val="21"/>
              </w:rPr>
              <w:t>。得分四舍五入保留两位小数。</w:t>
            </w:r>
          </w:p>
        </w:tc>
      </w:tr>
      <w:tr w:rsidR="00DA3C93">
        <w:trPr>
          <w:trHeight w:val="1100"/>
        </w:trPr>
        <w:tc>
          <w:tcPr>
            <w:tcW w:w="242" w:type="pct"/>
            <w:vMerge w:val="restart"/>
            <w:tcBorders>
              <w:top w:val="single" w:sz="6" w:space="0" w:color="000008"/>
              <w:left w:val="single" w:sz="6" w:space="0" w:color="000008"/>
              <w:bottom w:val="single" w:sz="6" w:space="0" w:color="000008"/>
              <w:right w:val="single" w:sz="6" w:space="0" w:color="000008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3C93" w:rsidRDefault="00872DFB">
            <w:pPr>
              <w:pStyle w:val="a3"/>
              <w:snapToGrid w:val="0"/>
              <w:spacing w:line="240" w:lineRule="atLeas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450" w:type="pct"/>
            <w:vMerge w:val="restart"/>
            <w:tcBorders>
              <w:top w:val="single" w:sz="6" w:space="0" w:color="000008"/>
              <w:left w:val="single" w:sz="6" w:space="0" w:color="000008"/>
              <w:bottom w:val="single" w:sz="6" w:space="0" w:color="000008"/>
              <w:right w:val="single" w:sz="6" w:space="0" w:color="000008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3C93" w:rsidRDefault="00872DFB">
            <w:pPr>
              <w:pStyle w:val="a3"/>
              <w:snapToGrid w:val="0"/>
              <w:spacing w:line="240" w:lineRule="atLeas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商务部分（</w:t>
            </w:r>
            <w:r>
              <w:rPr>
                <w:rFonts w:hint="eastAsia"/>
                <w:color w:val="000000"/>
                <w:sz w:val="21"/>
                <w:szCs w:val="21"/>
              </w:rPr>
              <w:t>20</w:t>
            </w:r>
            <w:r>
              <w:rPr>
                <w:rFonts w:hint="eastAsia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457" w:type="pct"/>
            <w:tcBorders>
              <w:top w:val="single" w:sz="6" w:space="0" w:color="000008"/>
              <w:left w:val="single" w:sz="6" w:space="0" w:color="000008"/>
              <w:bottom w:val="single" w:sz="6" w:space="0" w:color="000008"/>
              <w:right w:val="single" w:sz="6" w:space="0" w:color="000008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3C93" w:rsidRDefault="00872DFB">
            <w:pPr>
              <w:pStyle w:val="a3"/>
              <w:snapToGrid w:val="0"/>
              <w:spacing w:line="240" w:lineRule="atLeas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企业实力（</w:t>
            </w:r>
            <w:r>
              <w:rPr>
                <w:rFonts w:hint="eastAsia"/>
                <w:color w:val="000000"/>
                <w:sz w:val="21"/>
                <w:szCs w:val="21"/>
              </w:rPr>
              <w:t>11</w:t>
            </w:r>
            <w:r>
              <w:rPr>
                <w:rFonts w:hint="eastAsia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3849" w:type="pct"/>
            <w:tcBorders>
              <w:top w:val="single" w:sz="6" w:space="0" w:color="000008"/>
              <w:left w:val="single" w:sz="6" w:space="0" w:color="000008"/>
              <w:bottom w:val="single" w:sz="6" w:space="0" w:color="000008"/>
              <w:right w:val="single" w:sz="6" w:space="0" w:color="000008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3C93" w:rsidRDefault="00872DFB">
            <w:pPr>
              <w:pStyle w:val="a3"/>
              <w:snapToGrid w:val="0"/>
              <w:spacing w:line="240" w:lineRule="atLeas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</w:rPr>
              <w:t>、为保障数据安全，投标人具有信息安全服务资质认证证书，认证范围包含：软件安全开发服务、信息安全应急处理服务，每提供一项得</w:t>
            </w: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</w:rPr>
              <w:t>分，本项累计最高得</w:t>
            </w:r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</w:rPr>
              <w:t>分。不提供不得分；</w:t>
            </w:r>
          </w:p>
          <w:p w:rsidR="00DA3C93" w:rsidRDefault="00872DFB">
            <w:pPr>
              <w:pStyle w:val="a3"/>
              <w:snapToGrid w:val="0"/>
              <w:spacing w:line="240" w:lineRule="atLeas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</w:rPr>
              <w:t>、为保障数据的完整性和保密性，投标人具有数据管理能力成熟度证书</w:t>
            </w:r>
            <w:r>
              <w:rPr>
                <w:rFonts w:hint="eastAsia"/>
                <w:color w:val="000000"/>
                <w:sz w:val="21"/>
                <w:szCs w:val="21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</w:rPr>
              <w:t>级及以上的得</w:t>
            </w:r>
            <w:r>
              <w:rPr>
                <w:rFonts w:hint="eastAsia"/>
                <w:color w:val="000000"/>
                <w:sz w:val="21"/>
                <w:szCs w:val="21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</w:rPr>
              <w:t>分；</w:t>
            </w:r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</w:rPr>
              <w:t>级得</w:t>
            </w:r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</w:rPr>
              <w:t>分，</w:t>
            </w: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</w:rPr>
              <w:t>级得</w:t>
            </w: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</w:rPr>
              <w:t>分，不提供不得分。</w:t>
            </w:r>
          </w:p>
          <w:p w:rsidR="00DA3C93" w:rsidRDefault="00872DFB">
            <w:pPr>
              <w:pStyle w:val="a3"/>
              <w:snapToGrid w:val="0"/>
              <w:spacing w:line="240" w:lineRule="atLeas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</w:rPr>
              <w:t>、为保障项目良好的运维服务，投标人具有</w:t>
            </w:r>
            <w:r>
              <w:rPr>
                <w:rFonts w:hint="eastAsia"/>
                <w:color w:val="000000"/>
                <w:sz w:val="21"/>
                <w:szCs w:val="21"/>
              </w:rPr>
              <w:t> ITSS </w:t>
            </w:r>
            <w:r>
              <w:rPr>
                <w:rFonts w:hint="eastAsia"/>
                <w:color w:val="000000"/>
                <w:sz w:val="21"/>
                <w:szCs w:val="21"/>
              </w:rPr>
              <w:t>信息技术服务运行维护标准符合性证书，成熟度为二级及以上的，得</w:t>
            </w:r>
            <w:r>
              <w:rPr>
                <w:rFonts w:hint="eastAsia"/>
                <w:color w:val="000000"/>
                <w:sz w:val="21"/>
                <w:szCs w:val="21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</w:rPr>
              <w:t>分；成熟度为三级的，得</w:t>
            </w: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</w:rPr>
              <w:t>分；否则不得分。</w:t>
            </w:r>
          </w:p>
          <w:p w:rsidR="00DA3C93" w:rsidRDefault="00872DFB">
            <w:pPr>
              <w:pStyle w:val="a3"/>
              <w:snapToGrid w:val="0"/>
              <w:spacing w:line="240" w:lineRule="atLeas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</w:t>
            </w:r>
            <w:r>
              <w:rPr>
                <w:rFonts w:hint="eastAsia"/>
                <w:color w:val="000000"/>
                <w:sz w:val="21"/>
                <w:szCs w:val="21"/>
              </w:rPr>
              <w:t>、投标人应具有良好的质量管理体系，具有质量管理体系、信息安全管理体系认证、信息技术服务管理体系认证证书，每提供一类证书得</w:t>
            </w:r>
            <w:r>
              <w:rPr>
                <w:rFonts w:hint="eastAsia"/>
                <w:color w:val="000000"/>
                <w:sz w:val="21"/>
                <w:szCs w:val="21"/>
              </w:rPr>
              <w:t> 1</w:t>
            </w:r>
            <w:r>
              <w:rPr>
                <w:rFonts w:hint="eastAsia"/>
                <w:color w:val="000000"/>
                <w:sz w:val="21"/>
                <w:szCs w:val="21"/>
              </w:rPr>
              <w:t>分，最高得</w:t>
            </w:r>
            <w:r>
              <w:rPr>
                <w:rFonts w:hint="eastAsia"/>
                <w:color w:val="000000"/>
                <w:sz w:val="21"/>
                <w:szCs w:val="21"/>
              </w:rPr>
              <w:t>3 </w:t>
            </w:r>
            <w:r>
              <w:rPr>
                <w:rFonts w:hint="eastAsia"/>
                <w:color w:val="000000"/>
                <w:sz w:val="21"/>
                <w:szCs w:val="21"/>
              </w:rPr>
              <w:t>分。</w:t>
            </w:r>
            <w:bookmarkStart w:id="0" w:name="_GoBack"/>
            <w:bookmarkEnd w:id="0"/>
          </w:p>
          <w:p w:rsidR="00DA3C93" w:rsidRDefault="00872DFB">
            <w:pPr>
              <w:pStyle w:val="a3"/>
              <w:snapToGrid w:val="0"/>
              <w:spacing w:line="240" w:lineRule="atLeas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注：以上材料在响应文件中提供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扫描件并加盖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公章，否则不予计分。</w:t>
            </w:r>
          </w:p>
        </w:tc>
      </w:tr>
      <w:tr w:rsidR="00DA3C93">
        <w:trPr>
          <w:trHeight w:val="400"/>
        </w:trPr>
        <w:tc>
          <w:tcPr>
            <w:tcW w:w="242" w:type="pct"/>
            <w:vMerge/>
            <w:tcBorders>
              <w:top w:val="single" w:sz="6" w:space="0" w:color="000008"/>
              <w:left w:val="single" w:sz="6" w:space="0" w:color="000008"/>
              <w:bottom w:val="single" w:sz="6" w:space="0" w:color="000008"/>
              <w:right w:val="single" w:sz="6" w:space="0" w:color="000008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3C93" w:rsidRDefault="00DA3C93">
            <w:pPr>
              <w:widowControl/>
              <w:snapToGrid w:val="0"/>
              <w:spacing w:line="240" w:lineRule="atLeas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50" w:type="pct"/>
            <w:vMerge/>
            <w:tcBorders>
              <w:top w:val="single" w:sz="6" w:space="0" w:color="000008"/>
              <w:left w:val="single" w:sz="6" w:space="0" w:color="000008"/>
              <w:bottom w:val="single" w:sz="6" w:space="0" w:color="000008"/>
              <w:right w:val="single" w:sz="6" w:space="0" w:color="000008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3C93" w:rsidRDefault="00DA3C93">
            <w:pPr>
              <w:widowControl/>
              <w:snapToGrid w:val="0"/>
              <w:spacing w:line="240" w:lineRule="atLeas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sz="6" w:space="0" w:color="000008"/>
              <w:left w:val="single" w:sz="6" w:space="0" w:color="000008"/>
              <w:bottom w:val="single" w:sz="6" w:space="0" w:color="000008"/>
              <w:right w:val="single" w:sz="6" w:space="0" w:color="000008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3C93" w:rsidRDefault="00872DFB">
            <w:pPr>
              <w:pStyle w:val="a3"/>
              <w:snapToGrid w:val="0"/>
              <w:spacing w:line="240" w:lineRule="atLeas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数据对接（</w:t>
            </w:r>
            <w:r>
              <w:rPr>
                <w:rFonts w:hint="eastAsia"/>
                <w:color w:val="000000"/>
                <w:sz w:val="21"/>
                <w:szCs w:val="21"/>
              </w:rPr>
              <w:t>4</w:t>
            </w:r>
            <w:r>
              <w:rPr>
                <w:rFonts w:hint="eastAsia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3849" w:type="pct"/>
            <w:tcBorders>
              <w:top w:val="single" w:sz="6" w:space="0" w:color="000008"/>
              <w:left w:val="single" w:sz="6" w:space="0" w:color="000008"/>
              <w:bottom w:val="single" w:sz="6" w:space="0" w:color="000008"/>
              <w:right w:val="single" w:sz="6" w:space="0" w:color="000008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3C93" w:rsidRDefault="00872DFB">
            <w:pPr>
              <w:pStyle w:val="a3"/>
              <w:snapToGrid w:val="0"/>
              <w:spacing w:line="240" w:lineRule="atLeas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为保障所投软件系统与医院现有系统之间数据的对接及共享，确保数据质量及使用效果，投标人具有数据对接方面的能力，具有数据质量类、数据采集调度类、数据采集适配器类、数据总线系统类的著作权证书，每提供一类得</w:t>
            </w: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</w:rPr>
              <w:t>分，最高得</w:t>
            </w:r>
            <w:r>
              <w:rPr>
                <w:rFonts w:hint="eastAsia"/>
                <w:color w:val="000000"/>
                <w:sz w:val="21"/>
                <w:szCs w:val="21"/>
              </w:rPr>
              <w:t>4</w:t>
            </w:r>
            <w:r>
              <w:rPr>
                <w:rFonts w:hint="eastAsia"/>
                <w:color w:val="000000"/>
                <w:sz w:val="21"/>
                <w:szCs w:val="21"/>
              </w:rPr>
              <w:t>分。不提供不得分。</w:t>
            </w:r>
          </w:p>
        </w:tc>
      </w:tr>
      <w:tr w:rsidR="00DA3C93">
        <w:trPr>
          <w:trHeight w:val="640"/>
        </w:trPr>
        <w:tc>
          <w:tcPr>
            <w:tcW w:w="242" w:type="pct"/>
            <w:vMerge/>
            <w:tcBorders>
              <w:top w:val="single" w:sz="6" w:space="0" w:color="000008"/>
              <w:left w:val="single" w:sz="6" w:space="0" w:color="000008"/>
              <w:bottom w:val="single" w:sz="6" w:space="0" w:color="000008"/>
              <w:right w:val="single" w:sz="6" w:space="0" w:color="000008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3C93" w:rsidRDefault="00DA3C93">
            <w:pPr>
              <w:widowControl/>
              <w:snapToGrid w:val="0"/>
              <w:spacing w:line="240" w:lineRule="atLeas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50" w:type="pct"/>
            <w:vMerge/>
            <w:tcBorders>
              <w:top w:val="single" w:sz="6" w:space="0" w:color="000008"/>
              <w:left w:val="single" w:sz="6" w:space="0" w:color="000008"/>
              <w:bottom w:val="single" w:sz="6" w:space="0" w:color="000008"/>
              <w:right w:val="single" w:sz="6" w:space="0" w:color="000008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3C93" w:rsidRDefault="00DA3C93">
            <w:pPr>
              <w:widowControl/>
              <w:snapToGrid w:val="0"/>
              <w:spacing w:line="240" w:lineRule="atLeas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sz="6" w:space="0" w:color="000008"/>
              <w:left w:val="single" w:sz="6" w:space="0" w:color="000008"/>
              <w:bottom w:val="single" w:sz="6" w:space="0" w:color="000008"/>
              <w:right w:val="single" w:sz="6" w:space="0" w:color="000008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3C93" w:rsidRDefault="00872DFB">
            <w:pPr>
              <w:pStyle w:val="a3"/>
              <w:snapToGrid w:val="0"/>
              <w:spacing w:line="240" w:lineRule="atLeas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项目人员（</w:t>
            </w:r>
            <w:r>
              <w:rPr>
                <w:rFonts w:hint="eastAsia"/>
                <w:color w:val="000000"/>
                <w:sz w:val="21"/>
                <w:szCs w:val="21"/>
              </w:rPr>
              <w:t>5</w:t>
            </w:r>
            <w:r>
              <w:rPr>
                <w:rFonts w:hint="eastAsia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3849" w:type="pct"/>
            <w:tcBorders>
              <w:top w:val="single" w:sz="6" w:space="0" w:color="000008"/>
              <w:left w:val="single" w:sz="6" w:space="0" w:color="000008"/>
              <w:bottom w:val="single" w:sz="6" w:space="0" w:color="000008"/>
              <w:right w:val="single" w:sz="6" w:space="0" w:color="000008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3C93" w:rsidRDefault="00872DFB">
            <w:pPr>
              <w:pStyle w:val="a3"/>
              <w:snapToGrid w:val="0"/>
              <w:spacing w:line="240" w:lineRule="atLeas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为保障项目实施质量，投标人应设立专业服务团队，技术人员应具备信息系统项目管理师证书、软件评测师证书、系统集成项目管理工程师证书、软件设计师证书、网络工程师证书的，每配置一名具备上述证书的专业技术人员得</w:t>
            </w: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</w:rPr>
              <w:t>分，多名技术人员具备同一类证书或同一技术人员具备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不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同类证书的均不重复计分，本项最多得</w:t>
            </w:r>
            <w:r>
              <w:rPr>
                <w:rFonts w:hint="eastAsia"/>
                <w:color w:val="000000"/>
                <w:sz w:val="21"/>
                <w:szCs w:val="21"/>
              </w:rPr>
              <w:t>5</w:t>
            </w:r>
            <w:r>
              <w:rPr>
                <w:rFonts w:hint="eastAsia"/>
                <w:color w:val="000000"/>
                <w:sz w:val="21"/>
                <w:szCs w:val="21"/>
              </w:rPr>
              <w:t>分。</w:t>
            </w:r>
          </w:p>
          <w:p w:rsidR="00DA3C93" w:rsidRDefault="00872DFB">
            <w:pPr>
              <w:pStyle w:val="a3"/>
              <w:snapToGrid w:val="0"/>
              <w:spacing w:line="240" w:lineRule="atLeas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注：以上人员须在响应文件中提供其证书原件扫描件、投标人为其缴纳社保资金的有效证明材料，缺少任意一项不得分。</w:t>
            </w:r>
          </w:p>
        </w:tc>
      </w:tr>
      <w:tr w:rsidR="00DA3C93">
        <w:trPr>
          <w:trHeight w:val="460"/>
        </w:trPr>
        <w:tc>
          <w:tcPr>
            <w:tcW w:w="242" w:type="pct"/>
            <w:vMerge w:val="restart"/>
            <w:tcBorders>
              <w:top w:val="single" w:sz="6" w:space="0" w:color="000008"/>
              <w:left w:val="single" w:sz="6" w:space="0" w:color="000008"/>
              <w:bottom w:val="single" w:sz="6" w:space="0" w:color="000008"/>
              <w:right w:val="single" w:sz="6" w:space="0" w:color="000008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3C93" w:rsidRDefault="00872DFB">
            <w:pPr>
              <w:pStyle w:val="a3"/>
              <w:snapToGrid w:val="0"/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450" w:type="pct"/>
            <w:vMerge w:val="restart"/>
            <w:tcBorders>
              <w:top w:val="single" w:sz="6" w:space="0" w:color="000008"/>
              <w:left w:val="single" w:sz="6" w:space="0" w:color="000008"/>
              <w:bottom w:val="single" w:sz="6" w:space="0" w:color="000008"/>
              <w:right w:val="single" w:sz="6" w:space="0" w:color="000008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3C93" w:rsidRDefault="00872DFB">
            <w:pPr>
              <w:pStyle w:val="a3"/>
              <w:snapToGrid w:val="0"/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技术部分（</w:t>
            </w:r>
            <w:r>
              <w:rPr>
                <w:rFonts w:hint="eastAsia"/>
                <w:color w:val="000000"/>
                <w:sz w:val="21"/>
                <w:szCs w:val="21"/>
              </w:rPr>
              <w:t>70</w:t>
            </w:r>
            <w:r>
              <w:rPr>
                <w:rFonts w:hint="eastAsia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457" w:type="pct"/>
            <w:tcBorders>
              <w:top w:val="single" w:sz="6" w:space="0" w:color="000008"/>
              <w:left w:val="single" w:sz="6" w:space="0" w:color="000008"/>
              <w:bottom w:val="single" w:sz="6" w:space="0" w:color="000008"/>
              <w:right w:val="single" w:sz="6" w:space="0" w:color="000008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3C93" w:rsidRDefault="00872DFB">
            <w:pPr>
              <w:pStyle w:val="a3"/>
              <w:snapToGrid w:val="0"/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技术参数（</w:t>
            </w:r>
            <w:r>
              <w:rPr>
                <w:rFonts w:hint="eastAsia"/>
                <w:color w:val="000000"/>
                <w:sz w:val="21"/>
                <w:szCs w:val="21"/>
              </w:rPr>
              <w:t>10</w:t>
            </w:r>
            <w:r>
              <w:rPr>
                <w:rFonts w:hint="eastAsia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3849" w:type="pct"/>
            <w:tcBorders>
              <w:top w:val="single" w:sz="6" w:space="0" w:color="000008"/>
              <w:left w:val="single" w:sz="6" w:space="0" w:color="000008"/>
              <w:bottom w:val="single" w:sz="6" w:space="0" w:color="000008"/>
              <w:right w:val="single" w:sz="6" w:space="0" w:color="000008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3C93" w:rsidRDefault="00872DFB">
            <w:pPr>
              <w:pStyle w:val="a3"/>
              <w:snapToGrid w:val="0"/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根据投标人满足招标文件技术指标、参数要求，提供的技术性能说明等进行评审，全部满足招标文件要求的技术参数得</w:t>
            </w:r>
            <w:r>
              <w:rPr>
                <w:rFonts w:hint="eastAsia"/>
                <w:color w:val="000000"/>
                <w:sz w:val="21"/>
                <w:szCs w:val="21"/>
              </w:rPr>
              <w:t>10</w:t>
            </w:r>
            <w:r>
              <w:rPr>
                <w:rFonts w:hint="eastAsia"/>
                <w:color w:val="000000"/>
                <w:sz w:val="21"/>
                <w:szCs w:val="21"/>
              </w:rPr>
              <w:t>分，技术条款有一项负偏离扣</w:t>
            </w:r>
            <w:r>
              <w:rPr>
                <w:rFonts w:hint="eastAsia"/>
                <w:color w:val="000000"/>
                <w:sz w:val="21"/>
                <w:szCs w:val="21"/>
              </w:rPr>
              <w:t> 0.5 </w:t>
            </w:r>
            <w:r>
              <w:rPr>
                <w:rFonts w:hint="eastAsia"/>
                <w:color w:val="000000"/>
                <w:sz w:val="21"/>
                <w:szCs w:val="21"/>
              </w:rPr>
              <w:t>分，扣完为止。</w:t>
            </w:r>
          </w:p>
        </w:tc>
      </w:tr>
      <w:tr w:rsidR="00DA3C93">
        <w:trPr>
          <w:trHeight w:val="1080"/>
        </w:trPr>
        <w:tc>
          <w:tcPr>
            <w:tcW w:w="242" w:type="pct"/>
            <w:vMerge/>
            <w:tcBorders>
              <w:top w:val="single" w:sz="6" w:space="0" w:color="000008"/>
              <w:left w:val="single" w:sz="6" w:space="0" w:color="000008"/>
              <w:bottom w:val="single" w:sz="6" w:space="0" w:color="000008"/>
              <w:right w:val="single" w:sz="6" w:space="0" w:color="000008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3C93" w:rsidRDefault="00DA3C93">
            <w:pPr>
              <w:widowControl/>
              <w:snapToGrid w:val="0"/>
              <w:spacing w:line="240" w:lineRule="atLeas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50" w:type="pct"/>
            <w:vMerge/>
            <w:tcBorders>
              <w:top w:val="single" w:sz="6" w:space="0" w:color="000008"/>
              <w:left w:val="single" w:sz="6" w:space="0" w:color="000008"/>
              <w:bottom w:val="single" w:sz="6" w:space="0" w:color="000008"/>
              <w:right w:val="single" w:sz="6" w:space="0" w:color="000008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3C93" w:rsidRDefault="00DA3C93">
            <w:pPr>
              <w:widowControl/>
              <w:snapToGrid w:val="0"/>
              <w:spacing w:line="240" w:lineRule="atLeas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57" w:type="pct"/>
            <w:vMerge w:val="restart"/>
            <w:tcBorders>
              <w:top w:val="single" w:sz="6" w:space="0" w:color="000008"/>
              <w:left w:val="single" w:sz="6" w:space="0" w:color="000008"/>
              <w:bottom w:val="single" w:sz="6" w:space="0" w:color="000008"/>
              <w:right w:val="single" w:sz="6" w:space="0" w:color="000008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3C93" w:rsidRDefault="00872DFB">
            <w:pPr>
              <w:pStyle w:val="a3"/>
              <w:snapToGrid w:val="0"/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设计方案（</w:t>
            </w:r>
            <w:r>
              <w:rPr>
                <w:rFonts w:hint="eastAsia"/>
                <w:color w:val="000000"/>
                <w:sz w:val="21"/>
                <w:szCs w:val="21"/>
              </w:rPr>
              <w:t>20</w:t>
            </w:r>
            <w:r>
              <w:rPr>
                <w:rFonts w:hint="eastAsia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3849" w:type="pct"/>
            <w:tcBorders>
              <w:top w:val="single" w:sz="6" w:space="0" w:color="000008"/>
              <w:left w:val="single" w:sz="6" w:space="0" w:color="000008"/>
              <w:bottom w:val="single" w:sz="6" w:space="0" w:color="000008"/>
              <w:right w:val="single" w:sz="6" w:space="0" w:color="000008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3C93" w:rsidRDefault="00872DFB">
            <w:pPr>
              <w:pStyle w:val="a3"/>
              <w:snapToGrid w:val="0"/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</w:rPr>
              <w:t>、根据投标人提供的设计方案内容进行综合评审打分，重点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考量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：系统模块化开发</w:t>
            </w:r>
            <w:r>
              <w:rPr>
                <w:rFonts w:hint="eastAsia"/>
                <w:color w:val="000000"/>
                <w:sz w:val="21"/>
                <w:szCs w:val="21"/>
              </w:rPr>
              <w:t>,</w:t>
            </w:r>
            <w:r>
              <w:rPr>
                <w:rFonts w:hint="eastAsia"/>
                <w:color w:val="000000"/>
                <w:sz w:val="21"/>
                <w:szCs w:val="21"/>
              </w:rPr>
              <w:t>基于容器化运行，是否能够具有高可用性。</w:t>
            </w:r>
            <w:r w:rsidR="00D044A3">
              <w:rPr>
                <w:rFonts w:hint="eastAsia"/>
                <w:color w:val="000000"/>
                <w:sz w:val="21"/>
                <w:szCs w:val="21"/>
              </w:rPr>
              <w:t>(本项最多得10分)</w:t>
            </w:r>
          </w:p>
          <w:p w:rsidR="00DA3C93" w:rsidRDefault="00872DFB">
            <w:pPr>
              <w:pStyle w:val="a3"/>
              <w:snapToGrid w:val="0"/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</w:rPr>
              <w:t>）支持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微服务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架构设计，具有高可用机制得</w:t>
            </w:r>
            <w:r>
              <w:rPr>
                <w:rFonts w:hint="eastAsia"/>
                <w:color w:val="000000"/>
                <w:sz w:val="21"/>
                <w:szCs w:val="21"/>
              </w:rPr>
              <w:t>10</w:t>
            </w:r>
            <w:r>
              <w:rPr>
                <w:rFonts w:hint="eastAsia"/>
                <w:color w:val="000000"/>
                <w:sz w:val="21"/>
                <w:szCs w:val="21"/>
              </w:rPr>
              <w:t>分；</w:t>
            </w:r>
          </w:p>
          <w:p w:rsidR="00DA3C93" w:rsidRDefault="00872DFB">
            <w:pPr>
              <w:pStyle w:val="a3"/>
              <w:snapToGrid w:val="0"/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</w:rPr>
              <w:t>）支持</w:t>
            </w:r>
            <w:r>
              <w:rPr>
                <w:rFonts w:hint="eastAsia"/>
                <w:color w:val="000000"/>
                <w:sz w:val="21"/>
                <w:szCs w:val="21"/>
              </w:rPr>
              <w:t>SOA</w:t>
            </w:r>
            <w:r>
              <w:rPr>
                <w:rFonts w:hint="eastAsia"/>
                <w:color w:val="000000"/>
                <w:sz w:val="21"/>
                <w:szCs w:val="21"/>
              </w:rPr>
              <w:t>架构设计，固定的高可用架构得</w:t>
            </w:r>
            <w:r>
              <w:rPr>
                <w:rFonts w:hint="eastAsia"/>
                <w:color w:val="000000"/>
                <w:sz w:val="21"/>
                <w:szCs w:val="21"/>
              </w:rPr>
              <w:t>6</w:t>
            </w:r>
            <w:r>
              <w:rPr>
                <w:rFonts w:hint="eastAsia"/>
                <w:color w:val="000000"/>
                <w:sz w:val="21"/>
                <w:szCs w:val="21"/>
              </w:rPr>
              <w:t>分；</w:t>
            </w:r>
          </w:p>
          <w:p w:rsidR="00DA3C93" w:rsidRDefault="00872DFB">
            <w:pPr>
              <w:pStyle w:val="a3"/>
              <w:snapToGrid w:val="0"/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lastRenderedPageBreak/>
              <w:t>（</w:t>
            </w:r>
            <w:r>
              <w:rPr>
                <w:rFonts w:hint="eastAsia"/>
                <w:color w:val="000000"/>
                <w:sz w:val="21"/>
                <w:szCs w:val="21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</w:rPr>
              <w:t>）单体应用设计，没有基础服务参与建设得</w:t>
            </w:r>
            <w:r>
              <w:rPr>
                <w:rFonts w:hint="eastAsia"/>
                <w:color w:val="000000"/>
                <w:sz w:val="21"/>
                <w:szCs w:val="21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</w:rPr>
              <w:t>分；</w:t>
            </w:r>
          </w:p>
          <w:p w:rsidR="00DA3C93" w:rsidRDefault="00872DFB">
            <w:pPr>
              <w:pStyle w:val="a3"/>
              <w:snapToGrid w:val="0"/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</w:rPr>
              <w:t>4</w:t>
            </w:r>
            <w:r>
              <w:rPr>
                <w:rFonts w:hint="eastAsia"/>
                <w:color w:val="000000"/>
                <w:sz w:val="21"/>
                <w:szCs w:val="21"/>
              </w:rPr>
              <w:t>）未提供方案不得分。</w:t>
            </w:r>
          </w:p>
        </w:tc>
      </w:tr>
      <w:tr w:rsidR="00DA3C93">
        <w:trPr>
          <w:trHeight w:val="1080"/>
        </w:trPr>
        <w:tc>
          <w:tcPr>
            <w:tcW w:w="242" w:type="pct"/>
            <w:vMerge/>
            <w:tcBorders>
              <w:top w:val="single" w:sz="6" w:space="0" w:color="000008"/>
              <w:left w:val="single" w:sz="6" w:space="0" w:color="000008"/>
              <w:bottom w:val="single" w:sz="6" w:space="0" w:color="000008"/>
              <w:right w:val="single" w:sz="6" w:space="0" w:color="000008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3C93" w:rsidRDefault="00DA3C93">
            <w:pPr>
              <w:widowControl/>
              <w:snapToGrid w:val="0"/>
              <w:spacing w:line="240" w:lineRule="atLeas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50" w:type="pct"/>
            <w:vMerge/>
            <w:tcBorders>
              <w:top w:val="single" w:sz="6" w:space="0" w:color="000008"/>
              <w:left w:val="single" w:sz="6" w:space="0" w:color="000008"/>
              <w:bottom w:val="single" w:sz="6" w:space="0" w:color="000008"/>
              <w:right w:val="single" w:sz="6" w:space="0" w:color="000008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3C93" w:rsidRDefault="00DA3C93">
            <w:pPr>
              <w:widowControl/>
              <w:snapToGrid w:val="0"/>
              <w:spacing w:line="240" w:lineRule="atLeas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57" w:type="pct"/>
            <w:vMerge/>
            <w:tcBorders>
              <w:top w:val="single" w:sz="6" w:space="0" w:color="000008"/>
              <w:left w:val="single" w:sz="6" w:space="0" w:color="000008"/>
              <w:bottom w:val="single" w:sz="6" w:space="0" w:color="000008"/>
              <w:right w:val="single" w:sz="6" w:space="0" w:color="000008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3C93" w:rsidRDefault="00DA3C93">
            <w:pPr>
              <w:widowControl/>
              <w:snapToGrid w:val="0"/>
              <w:spacing w:line="240" w:lineRule="atLeas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849" w:type="pct"/>
            <w:tcBorders>
              <w:top w:val="single" w:sz="6" w:space="0" w:color="000008"/>
              <w:left w:val="single" w:sz="6" w:space="0" w:color="000008"/>
              <w:bottom w:val="single" w:sz="6" w:space="0" w:color="000008"/>
              <w:right w:val="single" w:sz="6" w:space="0" w:color="000008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3C93" w:rsidRDefault="00872DFB">
            <w:pPr>
              <w:pStyle w:val="a3"/>
              <w:snapToGrid w:val="0"/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</w:rPr>
              <w:t>、根据投标人提供的设计方案内容进行综合评审打分，重点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考量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：系统灵活发布的部署策略和灰度发布，是否能够具有灵活性和高快捷发布性。</w:t>
            </w:r>
            <w:r w:rsidR="00D044A3">
              <w:rPr>
                <w:rFonts w:hint="eastAsia"/>
                <w:color w:val="000000"/>
                <w:sz w:val="21"/>
                <w:szCs w:val="21"/>
              </w:rPr>
              <w:t>(本项最多得10分)</w:t>
            </w:r>
          </w:p>
          <w:p w:rsidR="00DA3C93" w:rsidRDefault="00872DFB">
            <w:pPr>
              <w:pStyle w:val="a3"/>
              <w:snapToGrid w:val="0"/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</w:rPr>
              <w:t>）能够提供多种负载均衡策略与高吞吐量的横向扩容机制，具有院级、科室级、用户级等进行灰度发布的能力的得</w:t>
            </w:r>
            <w:r>
              <w:rPr>
                <w:rFonts w:hint="eastAsia"/>
                <w:color w:val="000000"/>
                <w:sz w:val="21"/>
                <w:szCs w:val="21"/>
              </w:rPr>
              <w:t>10</w:t>
            </w:r>
            <w:r>
              <w:rPr>
                <w:rFonts w:hint="eastAsia"/>
                <w:color w:val="000000"/>
                <w:sz w:val="21"/>
                <w:szCs w:val="21"/>
              </w:rPr>
              <w:t>分；</w:t>
            </w:r>
          </w:p>
          <w:p w:rsidR="00DA3C93" w:rsidRDefault="00872DFB">
            <w:pPr>
              <w:pStyle w:val="a3"/>
              <w:snapToGrid w:val="0"/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</w:rPr>
              <w:t>）无法进行横向扩容，具有人工</w:t>
            </w:r>
            <w:r>
              <w:rPr>
                <w:rFonts w:hint="eastAsia"/>
                <w:color w:val="000000"/>
                <w:sz w:val="21"/>
                <w:szCs w:val="21"/>
              </w:rPr>
              <w:t>AB</w:t>
            </w:r>
            <w:r>
              <w:rPr>
                <w:rFonts w:hint="eastAsia"/>
                <w:color w:val="000000"/>
                <w:sz w:val="21"/>
                <w:szCs w:val="21"/>
              </w:rPr>
              <w:t>测试发布的能力的得</w:t>
            </w:r>
            <w:r>
              <w:rPr>
                <w:rFonts w:hint="eastAsia"/>
                <w:color w:val="000000"/>
                <w:sz w:val="21"/>
                <w:szCs w:val="21"/>
              </w:rPr>
              <w:t>6</w:t>
            </w:r>
            <w:r>
              <w:rPr>
                <w:rFonts w:hint="eastAsia"/>
                <w:color w:val="000000"/>
                <w:sz w:val="21"/>
                <w:szCs w:val="21"/>
              </w:rPr>
              <w:t>分；</w:t>
            </w:r>
          </w:p>
          <w:p w:rsidR="00DA3C93" w:rsidRDefault="00872DFB">
            <w:pPr>
              <w:pStyle w:val="a3"/>
              <w:snapToGrid w:val="0"/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</w:rPr>
              <w:t>）没有实现高可用，升级服务需要停服的得</w:t>
            </w:r>
            <w:r>
              <w:rPr>
                <w:rFonts w:hint="eastAsia"/>
                <w:color w:val="000000"/>
                <w:sz w:val="21"/>
                <w:szCs w:val="21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</w:rPr>
              <w:t>分；</w:t>
            </w:r>
          </w:p>
          <w:p w:rsidR="00DA3C93" w:rsidRDefault="00872DFB">
            <w:pPr>
              <w:pStyle w:val="a3"/>
              <w:snapToGrid w:val="0"/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</w:rPr>
              <w:t>4</w:t>
            </w:r>
            <w:r>
              <w:rPr>
                <w:rFonts w:hint="eastAsia"/>
                <w:color w:val="000000"/>
                <w:sz w:val="21"/>
                <w:szCs w:val="21"/>
              </w:rPr>
              <w:t>）未提供方案不得分。</w:t>
            </w:r>
          </w:p>
        </w:tc>
      </w:tr>
      <w:tr w:rsidR="00DA3C93">
        <w:trPr>
          <w:trHeight w:val="1180"/>
        </w:trPr>
        <w:tc>
          <w:tcPr>
            <w:tcW w:w="242" w:type="pct"/>
            <w:vMerge/>
            <w:tcBorders>
              <w:top w:val="single" w:sz="6" w:space="0" w:color="000008"/>
              <w:left w:val="single" w:sz="6" w:space="0" w:color="000008"/>
              <w:bottom w:val="single" w:sz="6" w:space="0" w:color="000008"/>
              <w:right w:val="single" w:sz="6" w:space="0" w:color="000008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3C93" w:rsidRDefault="00DA3C93">
            <w:pPr>
              <w:widowControl/>
              <w:snapToGrid w:val="0"/>
              <w:spacing w:line="240" w:lineRule="atLeas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50" w:type="pct"/>
            <w:vMerge/>
            <w:tcBorders>
              <w:top w:val="single" w:sz="6" w:space="0" w:color="000008"/>
              <w:left w:val="single" w:sz="6" w:space="0" w:color="000008"/>
              <w:bottom w:val="single" w:sz="6" w:space="0" w:color="000008"/>
              <w:right w:val="single" w:sz="6" w:space="0" w:color="000008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3C93" w:rsidRDefault="00DA3C93">
            <w:pPr>
              <w:widowControl/>
              <w:snapToGrid w:val="0"/>
              <w:spacing w:line="240" w:lineRule="atLeas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sz="6" w:space="0" w:color="000008"/>
              <w:left w:val="single" w:sz="6" w:space="0" w:color="000008"/>
              <w:bottom w:val="single" w:sz="6" w:space="0" w:color="000008"/>
              <w:right w:val="single" w:sz="6" w:space="0" w:color="000008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3C93" w:rsidRDefault="00872DFB">
            <w:pPr>
              <w:pStyle w:val="a3"/>
              <w:snapToGrid w:val="0"/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项目进度安排（</w:t>
            </w:r>
            <w:r>
              <w:rPr>
                <w:rFonts w:hint="eastAsia"/>
                <w:color w:val="000000"/>
                <w:sz w:val="21"/>
                <w:szCs w:val="21"/>
              </w:rPr>
              <w:t>10</w:t>
            </w:r>
            <w:r>
              <w:rPr>
                <w:rFonts w:hint="eastAsia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3849" w:type="pct"/>
            <w:tcBorders>
              <w:top w:val="single" w:sz="6" w:space="0" w:color="000008"/>
              <w:left w:val="single" w:sz="6" w:space="0" w:color="000008"/>
              <w:bottom w:val="single" w:sz="6" w:space="0" w:color="000008"/>
              <w:right w:val="single" w:sz="6" w:space="0" w:color="000008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3C93" w:rsidRDefault="00872DFB">
            <w:pPr>
              <w:pStyle w:val="a3"/>
              <w:snapToGrid w:val="0"/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投标文件中提供完备的项目进度安排。评审专家针对进度计划完整程度、人员配备合理分工情况、质量保障思路清晰情况、工期进度安排合理程度进行评分：</w:t>
            </w:r>
            <w:r w:rsidR="00005DCD">
              <w:rPr>
                <w:rFonts w:hint="eastAsia"/>
                <w:color w:val="000000"/>
                <w:sz w:val="21"/>
                <w:szCs w:val="21"/>
              </w:rPr>
              <w:t>(本项最多得10分)</w:t>
            </w:r>
          </w:p>
          <w:p w:rsidR="00DA3C93" w:rsidRDefault="00872DFB">
            <w:pPr>
              <w:pStyle w:val="a3"/>
              <w:snapToGrid w:val="0"/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</w:rPr>
              <w:t>）进度计划全面完整；人员配备齐全、经验丰富、分工合理；质量保障思路清晰、可行；工期进度安排细致、科学合理的得</w:t>
            </w:r>
            <w:r>
              <w:rPr>
                <w:rFonts w:hint="eastAsia"/>
                <w:color w:val="000000"/>
                <w:sz w:val="21"/>
                <w:szCs w:val="21"/>
              </w:rPr>
              <w:t>10</w:t>
            </w:r>
            <w:r>
              <w:rPr>
                <w:rFonts w:hint="eastAsia"/>
                <w:color w:val="000000"/>
                <w:sz w:val="21"/>
                <w:szCs w:val="21"/>
              </w:rPr>
              <w:t>分；</w:t>
            </w:r>
          </w:p>
          <w:p w:rsidR="00DA3C93" w:rsidRDefault="00872DFB">
            <w:pPr>
              <w:pStyle w:val="a3"/>
              <w:snapToGrid w:val="0"/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</w:rPr>
              <w:t>）进度计划完整；人员配备齐全；质量保障思路清晰；工期进度安排合理得</w:t>
            </w:r>
            <w:r>
              <w:rPr>
                <w:rFonts w:hint="eastAsia"/>
                <w:color w:val="000000"/>
                <w:sz w:val="21"/>
                <w:szCs w:val="21"/>
              </w:rPr>
              <w:t>6</w:t>
            </w:r>
            <w:r>
              <w:rPr>
                <w:rFonts w:hint="eastAsia"/>
                <w:color w:val="000000"/>
                <w:sz w:val="21"/>
                <w:szCs w:val="21"/>
              </w:rPr>
              <w:t>分；</w:t>
            </w:r>
          </w:p>
          <w:p w:rsidR="00DA3C93" w:rsidRDefault="00872DFB">
            <w:pPr>
              <w:pStyle w:val="a3"/>
              <w:snapToGrid w:val="0"/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</w:rPr>
              <w:t>）进度计划不完整；人员配备不足且没有具体分工；质量保障思路不清晰；工期进度安排不合理得</w:t>
            </w:r>
            <w:r>
              <w:rPr>
                <w:rFonts w:hint="eastAsia"/>
                <w:color w:val="000000"/>
                <w:sz w:val="21"/>
                <w:szCs w:val="21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</w:rPr>
              <w:t>分；</w:t>
            </w:r>
          </w:p>
          <w:p w:rsidR="00DA3C93" w:rsidRDefault="00872DFB">
            <w:pPr>
              <w:pStyle w:val="a3"/>
              <w:snapToGrid w:val="0"/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</w:rPr>
              <w:t>4</w:t>
            </w:r>
            <w:r>
              <w:rPr>
                <w:rFonts w:hint="eastAsia"/>
                <w:color w:val="000000"/>
                <w:sz w:val="21"/>
                <w:szCs w:val="21"/>
              </w:rPr>
              <w:t>）未提供方案不得分。</w:t>
            </w:r>
          </w:p>
        </w:tc>
      </w:tr>
      <w:tr w:rsidR="00DA3C93">
        <w:trPr>
          <w:trHeight w:val="1180"/>
        </w:trPr>
        <w:tc>
          <w:tcPr>
            <w:tcW w:w="242" w:type="pct"/>
            <w:vMerge/>
            <w:tcBorders>
              <w:top w:val="single" w:sz="6" w:space="0" w:color="000008"/>
              <w:left w:val="single" w:sz="6" w:space="0" w:color="000008"/>
              <w:bottom w:val="single" w:sz="6" w:space="0" w:color="000008"/>
              <w:right w:val="single" w:sz="6" w:space="0" w:color="000008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3C93" w:rsidRDefault="00DA3C93">
            <w:pPr>
              <w:widowControl/>
              <w:snapToGrid w:val="0"/>
              <w:spacing w:line="240" w:lineRule="atLeas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50" w:type="pct"/>
            <w:vMerge/>
            <w:tcBorders>
              <w:top w:val="single" w:sz="6" w:space="0" w:color="000008"/>
              <w:left w:val="single" w:sz="6" w:space="0" w:color="000008"/>
              <w:bottom w:val="single" w:sz="6" w:space="0" w:color="000008"/>
              <w:right w:val="single" w:sz="6" w:space="0" w:color="000008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3C93" w:rsidRDefault="00DA3C93">
            <w:pPr>
              <w:widowControl/>
              <w:snapToGrid w:val="0"/>
              <w:spacing w:line="240" w:lineRule="atLeas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sz="6" w:space="0" w:color="000008"/>
              <w:left w:val="single" w:sz="6" w:space="0" w:color="000008"/>
              <w:bottom w:val="single" w:sz="6" w:space="0" w:color="000008"/>
              <w:right w:val="single" w:sz="6" w:space="0" w:color="000008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3C93" w:rsidRDefault="00872DFB">
            <w:pPr>
              <w:pStyle w:val="a3"/>
              <w:snapToGrid w:val="0"/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培训方案（</w:t>
            </w:r>
            <w:r>
              <w:rPr>
                <w:rFonts w:hint="eastAsia"/>
                <w:color w:val="000000"/>
                <w:sz w:val="21"/>
                <w:szCs w:val="21"/>
              </w:rPr>
              <w:t>10</w:t>
            </w:r>
            <w:r>
              <w:rPr>
                <w:rFonts w:hint="eastAsia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3849" w:type="pct"/>
            <w:tcBorders>
              <w:top w:val="single" w:sz="6" w:space="0" w:color="000008"/>
              <w:left w:val="single" w:sz="6" w:space="0" w:color="000008"/>
              <w:bottom w:val="single" w:sz="6" w:space="0" w:color="000008"/>
              <w:right w:val="single" w:sz="6" w:space="0" w:color="000008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3C93" w:rsidRDefault="00872DFB">
            <w:pPr>
              <w:pStyle w:val="a3"/>
              <w:snapToGrid w:val="0"/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投标文件中要求根据用户现状提供完备的项目培训方案。评审专家针对培训方案的培训计划、培训目标、培训效果等进行评分；</w:t>
            </w:r>
            <w:r>
              <w:rPr>
                <w:rFonts w:hint="eastAsia"/>
                <w:color w:val="000000"/>
                <w:sz w:val="21"/>
                <w:szCs w:val="21"/>
              </w:rPr>
              <w:t> </w:t>
            </w:r>
            <w:r w:rsidR="00005DCD">
              <w:rPr>
                <w:rFonts w:hint="eastAsia"/>
                <w:color w:val="000000"/>
                <w:sz w:val="21"/>
                <w:szCs w:val="21"/>
              </w:rPr>
              <w:t>(本项最多得10分)</w:t>
            </w:r>
          </w:p>
          <w:p w:rsidR="00DA3C93" w:rsidRDefault="00872DFB">
            <w:pPr>
              <w:pStyle w:val="a3"/>
              <w:snapToGrid w:val="0"/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</w:rPr>
              <w:t>）培训计划详细、全面、可操作性强；培训目标明确、全面；培训效果清晰、有效；培训方案整体详细、具体，针对性及可行性强，有利于项目的实施的得</w:t>
            </w:r>
            <w:r>
              <w:rPr>
                <w:rFonts w:hint="eastAsia"/>
                <w:color w:val="000000"/>
                <w:sz w:val="21"/>
                <w:szCs w:val="21"/>
              </w:rPr>
              <w:t>10</w:t>
            </w:r>
            <w:r>
              <w:rPr>
                <w:rFonts w:hint="eastAsia"/>
                <w:color w:val="000000"/>
                <w:sz w:val="21"/>
                <w:szCs w:val="21"/>
              </w:rPr>
              <w:t>分；</w:t>
            </w:r>
          </w:p>
          <w:p w:rsidR="00DA3C93" w:rsidRDefault="00872DFB">
            <w:pPr>
              <w:pStyle w:val="a3"/>
              <w:snapToGrid w:val="0"/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</w:rPr>
              <w:t>）培训计划详细；培训目标模糊；培训效果有效；培训方案整体具有针对性及可行性的得</w:t>
            </w:r>
            <w:r>
              <w:rPr>
                <w:rFonts w:hint="eastAsia"/>
                <w:color w:val="000000"/>
                <w:sz w:val="21"/>
                <w:szCs w:val="21"/>
              </w:rPr>
              <w:t>6</w:t>
            </w:r>
            <w:r>
              <w:rPr>
                <w:rFonts w:hint="eastAsia"/>
                <w:color w:val="000000"/>
                <w:sz w:val="21"/>
                <w:szCs w:val="21"/>
              </w:rPr>
              <w:t>分；</w:t>
            </w:r>
          </w:p>
          <w:p w:rsidR="00DA3C93" w:rsidRDefault="00872DFB">
            <w:pPr>
              <w:pStyle w:val="a3"/>
              <w:snapToGrid w:val="0"/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</w:rPr>
              <w:t>）培训方案内容简单、不具体明确的得</w:t>
            </w:r>
            <w:r>
              <w:rPr>
                <w:rFonts w:hint="eastAsia"/>
                <w:color w:val="000000"/>
                <w:sz w:val="21"/>
                <w:szCs w:val="21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</w:rPr>
              <w:t>分；</w:t>
            </w:r>
          </w:p>
          <w:p w:rsidR="00DA3C93" w:rsidRDefault="00872DFB">
            <w:pPr>
              <w:pStyle w:val="a3"/>
              <w:snapToGrid w:val="0"/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</w:rPr>
              <w:t>4</w:t>
            </w:r>
            <w:r>
              <w:rPr>
                <w:rFonts w:hint="eastAsia"/>
                <w:color w:val="000000"/>
                <w:sz w:val="21"/>
                <w:szCs w:val="21"/>
              </w:rPr>
              <w:t>）未提供方案不得分。</w:t>
            </w:r>
          </w:p>
        </w:tc>
      </w:tr>
      <w:tr w:rsidR="00DA3C93">
        <w:trPr>
          <w:trHeight w:val="1180"/>
        </w:trPr>
        <w:tc>
          <w:tcPr>
            <w:tcW w:w="242" w:type="pct"/>
            <w:vMerge/>
            <w:tcBorders>
              <w:top w:val="single" w:sz="6" w:space="0" w:color="000008"/>
              <w:left w:val="single" w:sz="6" w:space="0" w:color="000008"/>
              <w:bottom w:val="single" w:sz="6" w:space="0" w:color="000008"/>
              <w:right w:val="single" w:sz="6" w:space="0" w:color="000008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3C93" w:rsidRDefault="00DA3C93">
            <w:pPr>
              <w:widowControl/>
              <w:snapToGrid w:val="0"/>
              <w:spacing w:line="240" w:lineRule="atLeas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50" w:type="pct"/>
            <w:vMerge/>
            <w:tcBorders>
              <w:top w:val="single" w:sz="6" w:space="0" w:color="000008"/>
              <w:left w:val="single" w:sz="6" w:space="0" w:color="000008"/>
              <w:bottom w:val="single" w:sz="6" w:space="0" w:color="000008"/>
              <w:right w:val="single" w:sz="6" w:space="0" w:color="000008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3C93" w:rsidRDefault="00DA3C93">
            <w:pPr>
              <w:widowControl/>
              <w:snapToGrid w:val="0"/>
              <w:spacing w:line="240" w:lineRule="atLeas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sz="6" w:space="0" w:color="000008"/>
              <w:left w:val="single" w:sz="6" w:space="0" w:color="000008"/>
              <w:bottom w:val="single" w:sz="6" w:space="0" w:color="000008"/>
              <w:right w:val="single" w:sz="6" w:space="0" w:color="000008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3C93" w:rsidRDefault="00872DFB">
            <w:pPr>
              <w:pStyle w:val="a3"/>
              <w:snapToGrid w:val="0"/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服务方案（</w:t>
            </w:r>
            <w:r>
              <w:rPr>
                <w:rFonts w:hint="eastAsia"/>
                <w:color w:val="000000"/>
                <w:sz w:val="21"/>
                <w:szCs w:val="21"/>
              </w:rPr>
              <w:t>10</w:t>
            </w:r>
            <w:r>
              <w:rPr>
                <w:rFonts w:hint="eastAsia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3849" w:type="pct"/>
            <w:tcBorders>
              <w:top w:val="single" w:sz="6" w:space="0" w:color="000008"/>
              <w:left w:val="single" w:sz="6" w:space="0" w:color="000008"/>
              <w:bottom w:val="single" w:sz="6" w:space="0" w:color="000008"/>
              <w:right w:val="single" w:sz="6" w:space="0" w:color="000008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3C93" w:rsidRDefault="00872DFB">
            <w:pPr>
              <w:pStyle w:val="a3"/>
              <w:snapToGrid w:val="0"/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投标文件中应提供对本项目的售后服务方案，评审专家根据售后服</w:t>
            </w:r>
            <w:r>
              <w:rPr>
                <w:rFonts w:hint="eastAsia"/>
                <w:color w:val="000000"/>
                <w:sz w:val="21"/>
                <w:szCs w:val="21"/>
              </w:rPr>
              <w:t>务体系、服务人员数量配备和分工、响应时间、售后服务措施等内容的合理性和可行性进行评分；</w:t>
            </w:r>
            <w:r w:rsidR="00005DCD">
              <w:rPr>
                <w:rFonts w:hint="eastAsia"/>
                <w:color w:val="000000"/>
                <w:sz w:val="21"/>
                <w:szCs w:val="21"/>
              </w:rPr>
              <w:t>(本项最多得10分)</w:t>
            </w:r>
          </w:p>
          <w:p w:rsidR="00DA3C93" w:rsidRDefault="00872DFB">
            <w:pPr>
              <w:pStyle w:val="a3"/>
              <w:snapToGrid w:val="0"/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</w:rPr>
              <w:t>）售后服务体系健全、覆盖全面；服务人员配备齐全、专业、分工</w:t>
            </w:r>
            <w:r>
              <w:rPr>
                <w:rFonts w:hint="eastAsia"/>
                <w:color w:val="000000"/>
                <w:sz w:val="21"/>
                <w:szCs w:val="21"/>
              </w:rPr>
              <w:lastRenderedPageBreak/>
              <w:t>合理；响应时间明确、及时；售后服务措施完整、合理、可行得</w:t>
            </w:r>
            <w:r>
              <w:rPr>
                <w:rFonts w:hint="eastAsia"/>
                <w:color w:val="000000"/>
                <w:sz w:val="21"/>
                <w:szCs w:val="21"/>
              </w:rPr>
              <w:t>10</w:t>
            </w:r>
            <w:r>
              <w:rPr>
                <w:rFonts w:hint="eastAsia"/>
                <w:color w:val="000000"/>
                <w:sz w:val="21"/>
                <w:szCs w:val="21"/>
              </w:rPr>
              <w:t>分；</w:t>
            </w:r>
          </w:p>
          <w:p w:rsidR="00DA3C93" w:rsidRDefault="00872DFB">
            <w:pPr>
              <w:pStyle w:val="a3"/>
              <w:snapToGrid w:val="0"/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</w:rPr>
              <w:t>）售后服务体系健全；服务人员配备齐全；响应时间明确；售后服务措施合理可行得</w:t>
            </w:r>
            <w:r>
              <w:rPr>
                <w:rFonts w:hint="eastAsia"/>
                <w:color w:val="000000"/>
                <w:sz w:val="21"/>
                <w:szCs w:val="21"/>
              </w:rPr>
              <w:t>6</w:t>
            </w:r>
            <w:r>
              <w:rPr>
                <w:rFonts w:hint="eastAsia"/>
                <w:color w:val="000000"/>
                <w:sz w:val="21"/>
                <w:szCs w:val="21"/>
              </w:rPr>
              <w:t>分；</w:t>
            </w:r>
          </w:p>
          <w:p w:rsidR="00DA3C93" w:rsidRDefault="00872DFB">
            <w:pPr>
              <w:pStyle w:val="a3"/>
              <w:snapToGrid w:val="0"/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</w:rPr>
              <w:t>）售后服务体系简单；服务人员配备不足；响应时间未明确；售后服务措施不完整的得</w:t>
            </w:r>
            <w:r>
              <w:rPr>
                <w:rFonts w:hint="eastAsia"/>
                <w:color w:val="000000"/>
                <w:sz w:val="21"/>
                <w:szCs w:val="21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</w:rPr>
              <w:t>分；</w:t>
            </w:r>
          </w:p>
          <w:p w:rsidR="00DA3C93" w:rsidRDefault="00872DFB">
            <w:pPr>
              <w:pStyle w:val="a3"/>
              <w:snapToGrid w:val="0"/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</w:rPr>
              <w:t>4</w:t>
            </w:r>
            <w:r>
              <w:rPr>
                <w:rFonts w:hint="eastAsia"/>
                <w:color w:val="000000"/>
                <w:sz w:val="21"/>
                <w:szCs w:val="21"/>
              </w:rPr>
              <w:t>）未提供方案不得分。</w:t>
            </w:r>
          </w:p>
        </w:tc>
      </w:tr>
      <w:tr w:rsidR="00DA3C93">
        <w:trPr>
          <w:trHeight w:val="1180"/>
        </w:trPr>
        <w:tc>
          <w:tcPr>
            <w:tcW w:w="242" w:type="pct"/>
            <w:vMerge/>
            <w:tcBorders>
              <w:top w:val="single" w:sz="6" w:space="0" w:color="000008"/>
              <w:left w:val="single" w:sz="6" w:space="0" w:color="000008"/>
              <w:bottom w:val="single" w:sz="6" w:space="0" w:color="000008"/>
              <w:right w:val="single" w:sz="6" w:space="0" w:color="000008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3C93" w:rsidRDefault="00DA3C93">
            <w:pPr>
              <w:widowControl/>
              <w:snapToGrid w:val="0"/>
              <w:spacing w:line="240" w:lineRule="atLeas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50" w:type="pct"/>
            <w:vMerge/>
            <w:tcBorders>
              <w:top w:val="single" w:sz="6" w:space="0" w:color="000008"/>
              <w:left w:val="single" w:sz="6" w:space="0" w:color="000008"/>
              <w:bottom w:val="single" w:sz="6" w:space="0" w:color="000008"/>
              <w:right w:val="single" w:sz="6" w:space="0" w:color="000008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3C93" w:rsidRDefault="00DA3C93">
            <w:pPr>
              <w:widowControl/>
              <w:snapToGrid w:val="0"/>
              <w:spacing w:line="240" w:lineRule="atLeas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sz="6" w:space="0" w:color="000008"/>
              <w:left w:val="single" w:sz="6" w:space="0" w:color="000008"/>
              <w:bottom w:val="single" w:sz="6" w:space="0" w:color="000008"/>
              <w:right w:val="single" w:sz="6" w:space="0" w:color="000008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3C93" w:rsidRDefault="00872DFB">
            <w:pPr>
              <w:pStyle w:val="a3"/>
              <w:snapToGrid w:val="0"/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应急响应方案</w:t>
            </w:r>
            <w:r>
              <w:rPr>
                <w:rFonts w:hint="eastAsia"/>
                <w:color w:val="000000"/>
                <w:sz w:val="21"/>
                <w:szCs w:val="21"/>
              </w:rPr>
              <w:br/>
            </w:r>
          </w:p>
          <w:p w:rsidR="00DA3C93" w:rsidRDefault="00872DFB">
            <w:pPr>
              <w:pStyle w:val="a3"/>
              <w:snapToGrid w:val="0"/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</w:rPr>
              <w:t>10</w:t>
            </w:r>
            <w:r>
              <w:rPr>
                <w:rFonts w:hint="eastAsia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3849" w:type="pct"/>
            <w:tcBorders>
              <w:top w:val="single" w:sz="6" w:space="0" w:color="000008"/>
              <w:left w:val="single" w:sz="6" w:space="0" w:color="000008"/>
              <w:bottom w:val="single" w:sz="6" w:space="0" w:color="000008"/>
              <w:right w:val="single" w:sz="6" w:space="0" w:color="000008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3C93" w:rsidRDefault="00872DFB">
            <w:pPr>
              <w:pStyle w:val="a3"/>
              <w:snapToGrid w:val="0"/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根据针对用户现状提供完备的项目应急方案在产品出现故障后，响应及排除故障时间安排情况，保障措施或应急预案安排情况进行评分。</w:t>
            </w:r>
            <w:r w:rsidR="00005DCD">
              <w:rPr>
                <w:rFonts w:hint="eastAsia"/>
                <w:color w:val="000000"/>
                <w:sz w:val="21"/>
                <w:szCs w:val="21"/>
              </w:rPr>
              <w:t>(本项最多得10分)</w:t>
            </w:r>
          </w:p>
          <w:p w:rsidR="00DA3C93" w:rsidRDefault="00872DFB">
            <w:pPr>
              <w:pStyle w:val="a3"/>
              <w:snapToGrid w:val="0"/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(1)</w:t>
            </w:r>
            <w:r>
              <w:rPr>
                <w:rFonts w:hint="eastAsia"/>
                <w:color w:val="000000"/>
                <w:sz w:val="21"/>
                <w:szCs w:val="21"/>
              </w:rPr>
              <w:t>响应及排除故障时间安排及时，保障措施或应急预案全面、可行得</w:t>
            </w:r>
            <w:r>
              <w:rPr>
                <w:rFonts w:hint="eastAsia"/>
                <w:color w:val="000000"/>
                <w:sz w:val="21"/>
                <w:szCs w:val="21"/>
              </w:rPr>
              <w:t>10</w:t>
            </w:r>
            <w:r>
              <w:rPr>
                <w:rFonts w:hint="eastAsia"/>
                <w:color w:val="000000"/>
                <w:sz w:val="21"/>
                <w:szCs w:val="21"/>
              </w:rPr>
              <w:t>分；</w:t>
            </w:r>
          </w:p>
          <w:p w:rsidR="00DA3C93" w:rsidRDefault="00872DFB">
            <w:pPr>
              <w:pStyle w:val="a3"/>
              <w:snapToGrid w:val="0"/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(2)</w:t>
            </w:r>
            <w:r>
              <w:rPr>
                <w:rFonts w:hint="eastAsia"/>
                <w:color w:val="000000"/>
                <w:sz w:val="21"/>
                <w:szCs w:val="21"/>
              </w:rPr>
              <w:t>响应及排除故障时间安排及时，保障措施或应急预案内容基本全面、可行得</w:t>
            </w:r>
            <w:r>
              <w:rPr>
                <w:rFonts w:hint="eastAsia"/>
                <w:color w:val="000000"/>
                <w:sz w:val="21"/>
                <w:szCs w:val="21"/>
              </w:rPr>
              <w:t>6</w:t>
            </w:r>
            <w:r>
              <w:rPr>
                <w:rFonts w:hint="eastAsia"/>
                <w:color w:val="000000"/>
                <w:sz w:val="21"/>
                <w:szCs w:val="21"/>
              </w:rPr>
              <w:t>分；</w:t>
            </w:r>
          </w:p>
          <w:p w:rsidR="00DA3C93" w:rsidRDefault="00872DFB">
            <w:pPr>
              <w:pStyle w:val="a3"/>
              <w:snapToGrid w:val="0"/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(3)</w:t>
            </w:r>
            <w:r>
              <w:rPr>
                <w:rFonts w:hint="eastAsia"/>
                <w:color w:val="000000"/>
                <w:sz w:val="21"/>
                <w:szCs w:val="21"/>
              </w:rPr>
              <w:t>响应及排除故障时间安排不及时，保障措施或应急预案不全面得</w:t>
            </w:r>
            <w:r>
              <w:rPr>
                <w:rFonts w:hint="eastAsia"/>
                <w:color w:val="000000"/>
                <w:sz w:val="21"/>
                <w:szCs w:val="21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</w:rPr>
              <w:t>分；</w:t>
            </w:r>
          </w:p>
          <w:p w:rsidR="00DA3C93" w:rsidRDefault="00872DFB">
            <w:pPr>
              <w:pStyle w:val="a3"/>
              <w:snapToGrid w:val="0"/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(4)</w:t>
            </w:r>
            <w:r>
              <w:rPr>
                <w:rFonts w:hint="eastAsia"/>
                <w:color w:val="000000"/>
                <w:sz w:val="21"/>
                <w:szCs w:val="21"/>
              </w:rPr>
              <w:t>未提供方案不得分。</w:t>
            </w:r>
          </w:p>
        </w:tc>
      </w:tr>
    </w:tbl>
    <w:p w:rsidR="00DA3C93" w:rsidRDefault="00DA3C93">
      <w:pPr>
        <w:snapToGrid w:val="0"/>
        <w:spacing w:line="240" w:lineRule="atLeast"/>
        <w:rPr>
          <w:rFonts w:ascii="宋体" w:eastAsia="宋体" w:hAnsi="宋体"/>
        </w:rPr>
      </w:pPr>
    </w:p>
    <w:sectPr w:rsidR="00DA3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DFB" w:rsidRDefault="00872DFB">
      <w:pPr>
        <w:spacing w:line="240" w:lineRule="auto"/>
      </w:pPr>
      <w:r>
        <w:separator/>
      </w:r>
    </w:p>
  </w:endnote>
  <w:endnote w:type="continuationSeparator" w:id="0">
    <w:p w:rsidR="00872DFB" w:rsidRDefault="00872D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DFB" w:rsidRDefault="00872DFB">
      <w:pPr>
        <w:spacing w:after="0"/>
      </w:pPr>
      <w:r>
        <w:separator/>
      </w:r>
    </w:p>
  </w:footnote>
  <w:footnote w:type="continuationSeparator" w:id="0">
    <w:p w:rsidR="00872DFB" w:rsidRDefault="00872DF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4B4"/>
    <w:rsid w:val="00005DCD"/>
    <w:rsid w:val="001404B4"/>
    <w:rsid w:val="00167394"/>
    <w:rsid w:val="004416D8"/>
    <w:rsid w:val="00872DFB"/>
    <w:rsid w:val="00B272C6"/>
    <w:rsid w:val="00D044A3"/>
    <w:rsid w:val="00D67FE0"/>
    <w:rsid w:val="00DA3C93"/>
    <w:rsid w:val="00DE74AC"/>
    <w:rsid w:val="7565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160" w:line="278" w:lineRule="auto"/>
    </w:pPr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160" w:line="278" w:lineRule="auto"/>
    </w:pPr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1943</Characters>
  <Application>Microsoft Office Word</Application>
  <DocSecurity>0</DocSecurity>
  <Lines>16</Lines>
  <Paragraphs>4</Paragraphs>
  <ScaleCrop>false</ScaleCrop>
  <Company>Microsoft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chaohui huang</dc:creator>
  <cp:lastModifiedBy>何烷桦</cp:lastModifiedBy>
  <cp:revision>2</cp:revision>
  <dcterms:created xsi:type="dcterms:W3CDTF">2025-04-28T03:34:00Z</dcterms:created>
  <dcterms:modified xsi:type="dcterms:W3CDTF">2025-04-28T03:34:00Z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eyJoZGlkIjoiMjQ2ZTkwYTc3ZGZjYmRiMjJjZDMxZjJjZTdlY2I3MTciLCJ1c2VySWQiOiI1MDA0MzM1MDkifQ==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CAAAC9126AFC475CB4406C46B391E2BB_12</vt:lpwstr>
  </property>
</Properties>
</file>