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EDD86" w14:textId="77777777" w:rsidR="00890C91" w:rsidRDefault="00397A39">
      <w:pPr>
        <w:tabs>
          <w:tab w:val="left" w:pos="0"/>
        </w:tabs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江门市妇幼保健院生活物资项目</w:t>
      </w:r>
    </w:p>
    <w:p w14:paraId="0E878106" w14:textId="77777777" w:rsidR="00890C91" w:rsidRDefault="00397A39">
      <w:pPr>
        <w:tabs>
          <w:tab w:val="left" w:pos="0"/>
        </w:tabs>
        <w:adjustRightInd w:val="0"/>
        <w:snapToGrid w:val="0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供应商招标需求</w:t>
      </w:r>
    </w:p>
    <w:p w14:paraId="0037B719" w14:textId="77777777" w:rsidR="00890C91" w:rsidRDefault="00397A39">
      <w:pPr>
        <w:tabs>
          <w:tab w:val="left" w:pos="0"/>
        </w:tabs>
        <w:adjustRightInd w:val="0"/>
        <w:snapToGrid w:val="0"/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一、总则</w:t>
      </w:r>
    </w:p>
    <w:p w14:paraId="0FA54487" w14:textId="77777777" w:rsidR="00890C91" w:rsidRDefault="00397A39">
      <w:pPr>
        <w:pStyle w:val="a8"/>
        <w:numPr>
          <w:ilvl w:val="0"/>
          <w:numId w:val="1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  <w:lang w:eastAsia="zh-Hans"/>
        </w:rPr>
        <w:t>供应商</w:t>
      </w:r>
      <w:r>
        <w:rPr>
          <w:rFonts w:hint="eastAsia"/>
          <w:sz w:val="24"/>
          <w:szCs w:val="24"/>
          <w:lang w:eastAsia="zh-Hans"/>
        </w:rPr>
        <w:t>应当</w:t>
      </w:r>
      <w:r>
        <w:rPr>
          <w:rFonts w:hint="eastAsia"/>
          <w:sz w:val="24"/>
          <w:szCs w:val="24"/>
        </w:rPr>
        <w:t>满足《中华人民共和国政府采购法》第二十二条规定；</w:t>
      </w:r>
    </w:p>
    <w:p w14:paraId="51FA3E1A" w14:textId="77777777" w:rsidR="00890C91" w:rsidRDefault="00397A39">
      <w:pPr>
        <w:pStyle w:val="a8"/>
        <w:numPr>
          <w:ilvl w:val="0"/>
          <w:numId w:val="1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供应商</w:t>
      </w:r>
      <w:r>
        <w:rPr>
          <w:rFonts w:hint="eastAsia"/>
          <w:sz w:val="24"/>
          <w:szCs w:val="24"/>
        </w:rPr>
        <w:t>应当是具有与本项目相适应经营范围的法人或其他组织的，具有良好的信誉；</w:t>
      </w:r>
    </w:p>
    <w:p w14:paraId="6667DB16" w14:textId="77777777" w:rsidR="00890C91" w:rsidRDefault="00397A39">
      <w:pPr>
        <w:pStyle w:val="a8"/>
        <w:numPr>
          <w:ilvl w:val="0"/>
          <w:numId w:val="1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本项目所需物资按采购人需求分期分批供应，具体品种和数量由采购人</w:t>
      </w:r>
      <w:r>
        <w:rPr>
          <w:rFonts w:hint="eastAsia"/>
          <w:sz w:val="24"/>
          <w:szCs w:val="24"/>
          <w:lang w:eastAsia="zh-Hans"/>
        </w:rPr>
        <w:t>根据</w:t>
      </w:r>
      <w:r>
        <w:rPr>
          <w:rFonts w:hint="eastAsia"/>
          <w:sz w:val="24"/>
          <w:szCs w:val="24"/>
        </w:rPr>
        <w:t>实际情况确定。</w:t>
      </w:r>
    </w:p>
    <w:p w14:paraId="74CABDB0" w14:textId="77777777" w:rsidR="00890C91" w:rsidRDefault="00397A39">
      <w:pPr>
        <w:pStyle w:val="a8"/>
        <w:numPr>
          <w:ilvl w:val="0"/>
          <w:numId w:val="1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采购人可以根据实际需求以书面或电话通知</w:t>
      </w:r>
      <w:r>
        <w:rPr>
          <w:rFonts w:hint="eastAsia"/>
          <w:sz w:val="24"/>
          <w:szCs w:val="24"/>
          <w:lang w:eastAsia="zh-Hans"/>
        </w:rPr>
        <w:t>成交</w:t>
      </w:r>
      <w:r>
        <w:rPr>
          <w:rFonts w:hint="eastAsia"/>
          <w:sz w:val="24"/>
          <w:szCs w:val="24"/>
        </w:rPr>
        <w:t>供应商</w:t>
      </w:r>
      <w:r>
        <w:rPr>
          <w:rFonts w:hint="eastAsia"/>
          <w:sz w:val="24"/>
          <w:szCs w:val="24"/>
          <w:lang w:eastAsia="zh-Hans"/>
        </w:rPr>
        <w:t>具体采购品种和数量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实际采购</w:t>
      </w:r>
      <w:r>
        <w:rPr>
          <w:rFonts w:hint="eastAsia"/>
          <w:sz w:val="24"/>
          <w:szCs w:val="24"/>
          <w:lang w:eastAsia="zh-Hans"/>
        </w:rPr>
        <w:t>货物及数量以采购人通知</w:t>
      </w:r>
      <w:r>
        <w:rPr>
          <w:rFonts w:hint="eastAsia"/>
          <w:sz w:val="24"/>
          <w:szCs w:val="24"/>
        </w:rPr>
        <w:t>为准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Hans"/>
        </w:rPr>
        <w:t>供应商应</w:t>
      </w:r>
      <w:r>
        <w:rPr>
          <w:rFonts w:hint="eastAsia"/>
          <w:sz w:val="24"/>
          <w:szCs w:val="24"/>
        </w:rPr>
        <w:t>提供</w:t>
      </w:r>
      <w:r>
        <w:rPr>
          <w:rFonts w:hint="eastAsia"/>
          <w:sz w:val="24"/>
          <w:szCs w:val="24"/>
          <w:lang w:eastAsia="zh-Hans"/>
        </w:rPr>
        <w:t>符合谈判</w:t>
      </w:r>
      <w:r>
        <w:rPr>
          <w:rFonts w:hint="eastAsia"/>
          <w:sz w:val="24"/>
          <w:szCs w:val="24"/>
        </w:rPr>
        <w:t>文件要求及</w:t>
      </w:r>
      <w:r>
        <w:rPr>
          <w:rFonts w:hint="eastAsia"/>
          <w:sz w:val="24"/>
          <w:szCs w:val="24"/>
          <w:lang w:eastAsia="zh-Hans"/>
        </w:rPr>
        <w:t>响应</w:t>
      </w:r>
      <w:r>
        <w:rPr>
          <w:rFonts w:hint="eastAsia"/>
          <w:sz w:val="24"/>
          <w:szCs w:val="24"/>
        </w:rPr>
        <w:t>文件承诺的货物与服务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eastAsia="zh-Hans"/>
        </w:rPr>
        <w:t>包括但不限于供货</w:t>
      </w:r>
      <w:r>
        <w:rPr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运输</w:t>
      </w:r>
      <w:r>
        <w:rPr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仓储报告等相关服务</w:t>
      </w:r>
      <w:r>
        <w:rPr>
          <w:sz w:val="24"/>
          <w:szCs w:val="24"/>
          <w:lang w:eastAsia="zh-Hans"/>
        </w:rPr>
        <w:t>）</w:t>
      </w:r>
      <w:r>
        <w:rPr>
          <w:rFonts w:hint="eastAsia"/>
          <w:sz w:val="24"/>
          <w:szCs w:val="24"/>
        </w:rPr>
        <w:t>。</w:t>
      </w:r>
    </w:p>
    <w:p w14:paraId="1E45799B" w14:textId="77777777" w:rsidR="00890C91" w:rsidRDefault="00397A39">
      <w:pPr>
        <w:pStyle w:val="a8"/>
        <w:numPr>
          <w:ilvl w:val="0"/>
          <w:numId w:val="1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采购人有权在签订合同时对项目方案作适当修改调整。</w:t>
      </w:r>
    </w:p>
    <w:p w14:paraId="209AE2DE" w14:textId="77777777" w:rsidR="00890C91" w:rsidRDefault="00397A39">
      <w:pPr>
        <w:pStyle w:val="a8"/>
        <w:numPr>
          <w:ilvl w:val="0"/>
          <w:numId w:val="1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本项目中标供应</w:t>
      </w:r>
      <w:proofErr w:type="gramStart"/>
      <w:r>
        <w:rPr>
          <w:rFonts w:hint="eastAsia"/>
          <w:sz w:val="24"/>
          <w:szCs w:val="24"/>
        </w:rPr>
        <w:t>商承包</w:t>
      </w:r>
      <w:proofErr w:type="gramEnd"/>
      <w:r>
        <w:rPr>
          <w:rFonts w:hint="eastAsia"/>
          <w:sz w:val="24"/>
          <w:szCs w:val="24"/>
        </w:rPr>
        <w:t>及负责招标文件中对中标供应商要求的一切事宜及责任，包括供货、运输、仓储保管及相关服务等。</w:t>
      </w:r>
    </w:p>
    <w:p w14:paraId="5CCDCB11" w14:textId="77777777" w:rsidR="00890C91" w:rsidRDefault="00397A39">
      <w:pPr>
        <w:pStyle w:val="a8"/>
        <w:numPr>
          <w:ilvl w:val="0"/>
          <w:numId w:val="1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服务期限：自合同签订之日起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，或</w:t>
      </w:r>
      <w:proofErr w:type="gramStart"/>
      <w:r>
        <w:rPr>
          <w:rFonts w:hint="eastAsia"/>
          <w:sz w:val="24"/>
          <w:szCs w:val="24"/>
        </w:rPr>
        <w:t>采购总</w:t>
      </w:r>
      <w:proofErr w:type="gramEnd"/>
      <w:r>
        <w:rPr>
          <w:rFonts w:hint="eastAsia"/>
          <w:sz w:val="24"/>
          <w:szCs w:val="24"/>
        </w:rPr>
        <w:t>金额≥人民币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万元时终止</w:t>
      </w:r>
      <w:r>
        <w:rPr>
          <w:rFonts w:hint="eastAsia"/>
          <w:sz w:val="24"/>
          <w:szCs w:val="24"/>
        </w:rPr>
        <w:t>。</w:t>
      </w:r>
    </w:p>
    <w:p w14:paraId="6146DEBF" w14:textId="77777777" w:rsidR="00890C91" w:rsidRDefault="00397A39">
      <w:pPr>
        <w:pStyle w:val="a8"/>
        <w:numPr>
          <w:ilvl w:val="0"/>
          <w:numId w:val="1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本项目中标供应商不得以任何方式转包或分包本项目。</w:t>
      </w:r>
    </w:p>
    <w:p w14:paraId="6FA0B78C" w14:textId="77777777" w:rsidR="00890C91" w:rsidRDefault="00397A39">
      <w:pPr>
        <w:tabs>
          <w:tab w:val="left" w:pos="0"/>
        </w:tabs>
        <w:adjustRightInd w:val="0"/>
        <w:snapToGrid w:val="0"/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二、项目供货要求</w:t>
      </w:r>
    </w:p>
    <w:p w14:paraId="0F841556" w14:textId="77777777" w:rsidR="00890C91" w:rsidRDefault="00397A39">
      <w:pPr>
        <w:pStyle w:val="a8"/>
        <w:numPr>
          <w:ilvl w:val="0"/>
          <w:numId w:val="2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所提供的食品类必须是合格的、符合国家对食品监督规定的、在保质期内的，经过使用单位检验，如出现质量问题或保质期</w:t>
      </w:r>
      <w:proofErr w:type="gramStart"/>
      <w:r>
        <w:rPr>
          <w:rFonts w:hint="eastAsia"/>
          <w:sz w:val="24"/>
          <w:szCs w:val="24"/>
        </w:rPr>
        <w:t>不足三分之一</w:t>
      </w:r>
      <w:proofErr w:type="gramEnd"/>
      <w:r>
        <w:rPr>
          <w:rFonts w:hint="eastAsia"/>
          <w:sz w:val="24"/>
          <w:szCs w:val="24"/>
        </w:rPr>
        <w:t>的情况，采购人有权拒绝所提供的食品</w:t>
      </w:r>
      <w:r>
        <w:rPr>
          <w:rFonts w:hint="eastAsia"/>
          <w:sz w:val="24"/>
          <w:szCs w:val="24"/>
          <w:lang w:eastAsia="zh-Hans"/>
        </w:rPr>
        <w:t>并要求重新供货</w:t>
      </w:r>
      <w:r>
        <w:rPr>
          <w:rFonts w:hint="eastAsia"/>
          <w:sz w:val="24"/>
          <w:szCs w:val="24"/>
        </w:rPr>
        <w:t>。</w:t>
      </w:r>
    </w:p>
    <w:p w14:paraId="58A8764D" w14:textId="77777777" w:rsidR="00890C91" w:rsidRDefault="00397A39">
      <w:pPr>
        <w:pStyle w:val="a8"/>
        <w:numPr>
          <w:ilvl w:val="0"/>
          <w:numId w:val="2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Hans"/>
        </w:rPr>
        <w:t>成交</w:t>
      </w:r>
      <w:r>
        <w:rPr>
          <w:rFonts w:hint="eastAsia"/>
          <w:sz w:val="24"/>
          <w:szCs w:val="24"/>
        </w:rPr>
        <w:t>供应商提供</w:t>
      </w:r>
      <w:r>
        <w:rPr>
          <w:rFonts w:hint="eastAsia"/>
          <w:sz w:val="24"/>
          <w:szCs w:val="24"/>
        </w:rPr>
        <w:t>7*24</w:t>
      </w:r>
      <w:r>
        <w:rPr>
          <w:rFonts w:hint="eastAsia"/>
          <w:sz w:val="24"/>
          <w:szCs w:val="24"/>
        </w:rPr>
        <w:t>免费上门供货服务，</w:t>
      </w:r>
      <w:r>
        <w:rPr>
          <w:rFonts w:hint="eastAsia"/>
          <w:sz w:val="24"/>
          <w:szCs w:val="24"/>
          <w:lang w:eastAsia="zh-Hans"/>
        </w:rPr>
        <w:t>成交</w:t>
      </w:r>
      <w:r>
        <w:rPr>
          <w:rFonts w:hint="eastAsia"/>
          <w:sz w:val="24"/>
          <w:szCs w:val="24"/>
        </w:rPr>
        <w:t>供应商收到采购人下单确认后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小时内将食品配送到采购人指定地点。如遇特殊情况，须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小时内配送到位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Hans"/>
        </w:rPr>
        <w:t>具体以采购人通知为准</w:t>
      </w:r>
      <w:r>
        <w:rPr>
          <w:rFonts w:hint="eastAsia"/>
          <w:sz w:val="24"/>
          <w:szCs w:val="24"/>
        </w:rPr>
        <w:t>。</w:t>
      </w:r>
    </w:p>
    <w:p w14:paraId="65D0524E" w14:textId="77777777" w:rsidR="00890C91" w:rsidRDefault="00397A39">
      <w:pPr>
        <w:pStyle w:val="a8"/>
        <w:numPr>
          <w:ilvl w:val="0"/>
          <w:numId w:val="2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因食品的质量或产地等问题发生争议，采购人或中标供应商认为有需要，可以共同提出或分别提出质量鉴定，广东省质检部门与江门市质检部门的鉴</w:t>
      </w:r>
      <w:r>
        <w:rPr>
          <w:rFonts w:hint="eastAsia"/>
          <w:sz w:val="24"/>
          <w:szCs w:val="24"/>
        </w:rPr>
        <w:lastRenderedPageBreak/>
        <w:t>定结论不一致的，以广东省质检部门的鉴定结论为准。鉴定费</w:t>
      </w:r>
      <w:proofErr w:type="gramStart"/>
      <w:r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  <w:lang w:eastAsia="zh-Hans"/>
        </w:rPr>
        <w:t>成交</w:t>
      </w:r>
      <w:proofErr w:type="gramEnd"/>
      <w:r>
        <w:rPr>
          <w:rFonts w:hint="eastAsia"/>
          <w:sz w:val="24"/>
          <w:szCs w:val="24"/>
        </w:rPr>
        <w:t>供应商承担，并须承担相应的责任。</w:t>
      </w:r>
    </w:p>
    <w:p w14:paraId="2B5331D1" w14:textId="77777777" w:rsidR="00890C91" w:rsidRDefault="00397A39">
      <w:pPr>
        <w:pStyle w:val="a8"/>
        <w:numPr>
          <w:ilvl w:val="0"/>
          <w:numId w:val="2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Hans"/>
        </w:rPr>
        <w:t>成交</w:t>
      </w:r>
      <w:r>
        <w:rPr>
          <w:rFonts w:hint="eastAsia"/>
          <w:sz w:val="24"/>
          <w:szCs w:val="24"/>
        </w:rPr>
        <w:t>供应商所供应食品的质量达不到采购人的要求，出现以下但不限此类情况的食品：腐败变质、混有异物、被有害物质污染、超过保质期限等，采购人有权要求退货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Hans"/>
        </w:rPr>
        <w:t>且成交供应商应</w:t>
      </w:r>
      <w:r>
        <w:rPr>
          <w:rFonts w:hint="eastAsia"/>
          <w:sz w:val="24"/>
          <w:szCs w:val="24"/>
          <w:lang w:eastAsia="zh-Hans"/>
        </w:rPr>
        <w:t>按</w:t>
      </w:r>
      <w:r>
        <w:rPr>
          <w:rFonts w:hint="eastAsia"/>
          <w:sz w:val="24"/>
          <w:szCs w:val="24"/>
        </w:rPr>
        <w:t>当天</w:t>
      </w:r>
      <w:r>
        <w:rPr>
          <w:rFonts w:hint="eastAsia"/>
          <w:sz w:val="24"/>
          <w:szCs w:val="24"/>
          <w:lang w:eastAsia="zh-Hans"/>
        </w:rPr>
        <w:t>采购</w:t>
      </w:r>
      <w:r>
        <w:rPr>
          <w:rFonts w:hint="eastAsia"/>
          <w:sz w:val="24"/>
          <w:szCs w:val="24"/>
        </w:rPr>
        <w:t>总货款的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  <w:lang w:eastAsia="zh-Hans"/>
        </w:rPr>
        <w:t>向采购人支付违约金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违约金可从当天采购货款中直接扣减</w:t>
      </w:r>
      <w:r>
        <w:rPr>
          <w:rFonts w:hint="eastAsia"/>
          <w:sz w:val="24"/>
          <w:szCs w:val="24"/>
        </w:rPr>
        <w:t>；若造成大面积影响，中毒等食品安全问题，除全部退货外，将取消</w:t>
      </w:r>
      <w:r>
        <w:rPr>
          <w:rFonts w:hint="eastAsia"/>
          <w:sz w:val="24"/>
          <w:szCs w:val="24"/>
          <w:lang w:eastAsia="zh-Hans"/>
        </w:rPr>
        <w:t>供应商的</w:t>
      </w:r>
      <w:r>
        <w:rPr>
          <w:rFonts w:hint="eastAsia"/>
          <w:sz w:val="24"/>
          <w:szCs w:val="24"/>
        </w:rPr>
        <w:t>供货资格，并承担由此造成的经济责任和法律责任。</w:t>
      </w:r>
    </w:p>
    <w:p w14:paraId="561D436F" w14:textId="77777777" w:rsidR="00890C91" w:rsidRDefault="00397A39">
      <w:pPr>
        <w:pStyle w:val="a8"/>
        <w:numPr>
          <w:ilvl w:val="0"/>
          <w:numId w:val="2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采购人对于应急物资及政府扶贫农副产品采购有自主优先权，采购人有权直接采购，不受</w:t>
      </w:r>
      <w:r>
        <w:rPr>
          <w:rFonts w:hint="eastAsia"/>
          <w:sz w:val="24"/>
          <w:szCs w:val="24"/>
          <w:lang w:eastAsia="zh-Hans"/>
        </w:rPr>
        <w:t>成交供应商</w:t>
      </w:r>
      <w:r>
        <w:rPr>
          <w:rFonts w:hint="eastAsia"/>
          <w:sz w:val="24"/>
          <w:szCs w:val="24"/>
        </w:rPr>
        <w:t>和本项目制约。</w:t>
      </w:r>
    </w:p>
    <w:p w14:paraId="2B86A258" w14:textId="77777777" w:rsidR="00890C91" w:rsidRDefault="00397A39">
      <w:pPr>
        <w:numPr>
          <w:ilvl w:val="0"/>
          <w:numId w:val="2"/>
        </w:numPr>
        <w:tabs>
          <w:tab w:val="left" w:pos="0"/>
        </w:tabs>
        <w:adjustRightInd w:val="0"/>
        <w:snapToGrid w:val="0"/>
        <w:spacing w:line="500" w:lineRule="exact"/>
        <w:ind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服务期内，如因相关法律法规等政府规范性文件要求或不可抗力等原因，采购人客观条件发生变化，采购人有权单方面终止合同</w:t>
      </w:r>
      <w:r>
        <w:rPr>
          <w:rFonts w:hint="eastAsia"/>
          <w:sz w:val="24"/>
          <w:szCs w:val="24"/>
          <w:lang w:eastAsia="zh-Hans"/>
        </w:rPr>
        <w:t>并</w:t>
      </w:r>
      <w:r>
        <w:rPr>
          <w:rFonts w:hint="eastAsia"/>
          <w:sz w:val="24"/>
          <w:szCs w:val="24"/>
        </w:rPr>
        <w:t>支付</w:t>
      </w:r>
      <w:r>
        <w:rPr>
          <w:rFonts w:hint="eastAsia"/>
          <w:sz w:val="24"/>
          <w:szCs w:val="24"/>
          <w:lang w:eastAsia="zh-Hans"/>
        </w:rPr>
        <w:t>已</w:t>
      </w:r>
      <w:r>
        <w:rPr>
          <w:rFonts w:hint="eastAsia"/>
          <w:sz w:val="24"/>
          <w:szCs w:val="24"/>
        </w:rPr>
        <w:t>实际发生的采购费用。</w:t>
      </w:r>
    </w:p>
    <w:p w14:paraId="4095E478" w14:textId="77777777" w:rsidR="00890C91" w:rsidRDefault="00397A39">
      <w:pPr>
        <w:pStyle w:val="a8"/>
        <w:numPr>
          <w:ilvl w:val="0"/>
          <w:numId w:val="2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供应商</w:t>
      </w:r>
      <w:r>
        <w:rPr>
          <w:rFonts w:hint="eastAsia"/>
          <w:sz w:val="24"/>
          <w:szCs w:val="24"/>
        </w:rPr>
        <w:t>报价为人民币含税全包价，即为实施和完成本项目所需的包括商品价款、包装、运输、搬运、储存、调换、质量检测、管理费、人工费等一切费用。</w:t>
      </w:r>
    </w:p>
    <w:p w14:paraId="161D7371" w14:textId="77777777" w:rsidR="00890C91" w:rsidRDefault="00397A39">
      <w:pPr>
        <w:pStyle w:val="a8"/>
        <w:numPr>
          <w:ilvl w:val="0"/>
          <w:numId w:val="2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按照合同约定供货，</w:t>
      </w:r>
      <w:r>
        <w:rPr>
          <w:rFonts w:hint="eastAsia"/>
          <w:sz w:val="24"/>
          <w:szCs w:val="24"/>
          <w:lang w:eastAsia="zh-Hans"/>
        </w:rPr>
        <w:t>成交</w:t>
      </w:r>
      <w:r>
        <w:rPr>
          <w:rFonts w:hint="eastAsia"/>
          <w:sz w:val="24"/>
          <w:szCs w:val="24"/>
        </w:rPr>
        <w:t>供应商不得转包、分包，否则采购人有权单方面终止合同，</w:t>
      </w:r>
      <w:r>
        <w:rPr>
          <w:rFonts w:hint="eastAsia"/>
          <w:sz w:val="24"/>
          <w:szCs w:val="24"/>
          <w:lang w:eastAsia="zh-Hans"/>
        </w:rPr>
        <w:t>成交</w:t>
      </w:r>
      <w:r>
        <w:rPr>
          <w:rFonts w:hint="eastAsia"/>
          <w:sz w:val="24"/>
          <w:szCs w:val="24"/>
        </w:rPr>
        <w:t>供应商承担由此给采购人造成的一切损失。</w:t>
      </w:r>
    </w:p>
    <w:p w14:paraId="5D617372" w14:textId="77777777" w:rsidR="00890C91" w:rsidRDefault="00397A39">
      <w:pPr>
        <w:tabs>
          <w:tab w:val="left" w:pos="0"/>
        </w:tabs>
        <w:adjustRightInd w:val="0"/>
        <w:snapToGrid w:val="0"/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三、项目服务要求</w:t>
      </w:r>
    </w:p>
    <w:p w14:paraId="5E44B77C" w14:textId="77777777" w:rsidR="00890C91" w:rsidRDefault="00397A39">
      <w:pPr>
        <w:pStyle w:val="a8"/>
        <w:numPr>
          <w:ilvl w:val="0"/>
          <w:numId w:val="3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供应商</w:t>
      </w:r>
      <w:r>
        <w:rPr>
          <w:rFonts w:hint="eastAsia"/>
          <w:sz w:val="24"/>
          <w:szCs w:val="24"/>
        </w:rPr>
        <w:t>应提供《营业执照》、《税务登记证》、《中华人民共和国组织机构代码证》或《三证合一》、资质证书等证照正副本复印件，并加盖公章给采购人备案。</w:t>
      </w:r>
    </w:p>
    <w:p w14:paraId="71566A27" w14:textId="77777777" w:rsidR="00890C91" w:rsidRDefault="00397A39">
      <w:pPr>
        <w:numPr>
          <w:ilvl w:val="0"/>
          <w:numId w:val="3"/>
        </w:numPr>
        <w:tabs>
          <w:tab w:val="left" w:pos="0"/>
        </w:tabs>
        <w:adjustRightInd w:val="0"/>
        <w:snapToGrid w:val="0"/>
        <w:spacing w:line="50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供应商</w:t>
      </w:r>
      <w:r>
        <w:rPr>
          <w:rFonts w:hint="eastAsia"/>
          <w:sz w:val="24"/>
          <w:szCs w:val="24"/>
        </w:rPr>
        <w:t>应提供与经营范围相适应且有效的《食品经营许可证》或《食品生产许可证》。</w:t>
      </w:r>
    </w:p>
    <w:p w14:paraId="0AD46547" w14:textId="77777777" w:rsidR="00890C91" w:rsidRDefault="00397A39">
      <w:pPr>
        <w:pStyle w:val="a8"/>
        <w:numPr>
          <w:ilvl w:val="0"/>
          <w:numId w:val="3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每次供应时应向采购人提</w:t>
      </w:r>
      <w:r>
        <w:rPr>
          <w:rFonts w:hint="eastAsia"/>
          <w:sz w:val="24"/>
          <w:szCs w:val="24"/>
        </w:rPr>
        <w:t>供</w:t>
      </w:r>
      <w:r>
        <w:rPr>
          <w:rFonts w:hint="eastAsia"/>
          <w:sz w:val="24"/>
          <w:szCs w:val="24"/>
          <w:lang w:eastAsia="zh-Hans"/>
        </w:rPr>
        <w:t>已记载供货数量及价格且已</w:t>
      </w:r>
      <w:r>
        <w:rPr>
          <w:rFonts w:hint="eastAsia"/>
          <w:sz w:val="24"/>
          <w:szCs w:val="24"/>
        </w:rPr>
        <w:t>加盖公章的货物清单（送货单）。</w:t>
      </w:r>
    </w:p>
    <w:p w14:paraId="11745E57" w14:textId="032FFC33" w:rsidR="00890C91" w:rsidRDefault="00397A39">
      <w:pPr>
        <w:pStyle w:val="a8"/>
        <w:numPr>
          <w:ilvl w:val="0"/>
          <w:numId w:val="3"/>
        </w:numPr>
        <w:tabs>
          <w:tab w:val="left" w:pos="0"/>
        </w:tabs>
        <w:adjustRightInd w:val="0"/>
        <w:snapToGrid w:val="0"/>
        <w:spacing w:line="500" w:lineRule="exact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中标原则：</w:t>
      </w:r>
      <w:r>
        <w:rPr>
          <w:rFonts w:hint="eastAsia"/>
          <w:sz w:val="24"/>
          <w:szCs w:val="24"/>
        </w:rPr>
        <w:t>在投标过程中以弄虚作假等欺诈手段中标，或配送过程中由</w:t>
      </w:r>
      <w:r>
        <w:rPr>
          <w:rFonts w:hint="eastAsia"/>
          <w:sz w:val="24"/>
          <w:szCs w:val="24"/>
        </w:rPr>
        <w:lastRenderedPageBreak/>
        <w:t>于情况变化不再符合准入条件的，采购人有权立即取消其配送资格，责令限期退出</w:t>
      </w:r>
      <w:r>
        <w:rPr>
          <w:rFonts w:hint="eastAsia"/>
          <w:sz w:val="24"/>
          <w:szCs w:val="24"/>
          <w:lang w:eastAsia="zh-Hans"/>
        </w:rPr>
        <w:t>并另行选定供应商</w:t>
      </w:r>
      <w:r>
        <w:rPr>
          <w:rFonts w:hint="eastAsia"/>
          <w:sz w:val="24"/>
          <w:szCs w:val="24"/>
        </w:rPr>
        <w:t>。</w:t>
      </w:r>
    </w:p>
    <w:p w14:paraId="6BF56F42" w14:textId="77777777" w:rsidR="00890C91" w:rsidRDefault="00397A39">
      <w:pPr>
        <w:tabs>
          <w:tab w:val="left" w:pos="0"/>
        </w:tabs>
        <w:adjustRightInd w:val="0"/>
        <w:snapToGrid w:val="0"/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四、采购清单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021"/>
        <w:gridCol w:w="1328"/>
        <w:gridCol w:w="2310"/>
      </w:tblGrid>
      <w:tr w:rsidR="00890C91" w14:paraId="67C98A4E" w14:textId="77777777">
        <w:tc>
          <w:tcPr>
            <w:tcW w:w="1128" w:type="dxa"/>
          </w:tcPr>
          <w:p w14:paraId="0C6C80A3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21" w:type="dxa"/>
          </w:tcPr>
          <w:p w14:paraId="081BEF7F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328" w:type="dxa"/>
          </w:tcPr>
          <w:p w14:paraId="47593553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310" w:type="dxa"/>
          </w:tcPr>
          <w:p w14:paraId="7A076B06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报价（元）</w:t>
            </w:r>
          </w:p>
        </w:tc>
      </w:tr>
      <w:tr w:rsidR="00890C91" w14:paraId="217E7EAE" w14:textId="77777777">
        <w:tc>
          <w:tcPr>
            <w:tcW w:w="1128" w:type="dxa"/>
          </w:tcPr>
          <w:p w14:paraId="5500CE6D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40F9C4D7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牛奶</w:t>
            </w:r>
          </w:p>
        </w:tc>
        <w:tc>
          <w:tcPr>
            <w:tcW w:w="1328" w:type="dxa"/>
          </w:tcPr>
          <w:p w14:paraId="1B60DDE1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2310" w:type="dxa"/>
          </w:tcPr>
          <w:p w14:paraId="29E8001E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890C91" w14:paraId="2D7615B5" w14:textId="77777777">
        <w:tc>
          <w:tcPr>
            <w:tcW w:w="1128" w:type="dxa"/>
          </w:tcPr>
          <w:p w14:paraId="62F9940A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4A2763B2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纯净水、蒸馏水</w:t>
            </w:r>
          </w:p>
        </w:tc>
        <w:tc>
          <w:tcPr>
            <w:tcW w:w="1328" w:type="dxa"/>
          </w:tcPr>
          <w:p w14:paraId="17F0ED27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2310" w:type="dxa"/>
          </w:tcPr>
          <w:p w14:paraId="63E650B7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890C91" w14:paraId="620CA316" w14:textId="77777777">
        <w:tc>
          <w:tcPr>
            <w:tcW w:w="1128" w:type="dxa"/>
          </w:tcPr>
          <w:p w14:paraId="08AF842E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2F14A505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手抽纸</w:t>
            </w:r>
            <w:proofErr w:type="gramEnd"/>
          </w:p>
        </w:tc>
        <w:tc>
          <w:tcPr>
            <w:tcW w:w="1328" w:type="dxa"/>
          </w:tcPr>
          <w:p w14:paraId="32FD5EB6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2310" w:type="dxa"/>
          </w:tcPr>
          <w:p w14:paraId="4C81E711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890C91" w14:paraId="6C21FFFB" w14:textId="77777777">
        <w:tc>
          <w:tcPr>
            <w:tcW w:w="1128" w:type="dxa"/>
          </w:tcPr>
          <w:p w14:paraId="71BE352E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57C51D0F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华夫饼</w:t>
            </w:r>
          </w:p>
        </w:tc>
        <w:tc>
          <w:tcPr>
            <w:tcW w:w="1328" w:type="dxa"/>
          </w:tcPr>
          <w:p w14:paraId="179BD5CD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2310" w:type="dxa"/>
          </w:tcPr>
          <w:p w14:paraId="470E0827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890C91" w14:paraId="3CF28CB0" w14:textId="77777777">
        <w:tc>
          <w:tcPr>
            <w:tcW w:w="1128" w:type="dxa"/>
          </w:tcPr>
          <w:p w14:paraId="399E57C4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14:paraId="6D44D6FA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蜜糖</w:t>
            </w:r>
          </w:p>
        </w:tc>
        <w:tc>
          <w:tcPr>
            <w:tcW w:w="1328" w:type="dxa"/>
          </w:tcPr>
          <w:p w14:paraId="3D8E5C1B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2310" w:type="dxa"/>
          </w:tcPr>
          <w:p w14:paraId="09F2B01D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890C91" w14:paraId="444E4797" w14:textId="77777777">
        <w:tc>
          <w:tcPr>
            <w:tcW w:w="1128" w:type="dxa"/>
          </w:tcPr>
          <w:p w14:paraId="6951CFCF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14:paraId="7E3ECF90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吐司</w:t>
            </w:r>
          </w:p>
        </w:tc>
        <w:tc>
          <w:tcPr>
            <w:tcW w:w="1328" w:type="dxa"/>
          </w:tcPr>
          <w:p w14:paraId="44C39D36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2310" w:type="dxa"/>
          </w:tcPr>
          <w:p w14:paraId="32DDCC6A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890C91" w14:paraId="550CC5B1" w14:textId="77777777">
        <w:tc>
          <w:tcPr>
            <w:tcW w:w="1128" w:type="dxa"/>
          </w:tcPr>
          <w:p w14:paraId="14403A95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14:paraId="4DD79181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法式小面包</w:t>
            </w:r>
          </w:p>
        </w:tc>
        <w:tc>
          <w:tcPr>
            <w:tcW w:w="1328" w:type="dxa"/>
          </w:tcPr>
          <w:p w14:paraId="655F6982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2310" w:type="dxa"/>
          </w:tcPr>
          <w:p w14:paraId="046586E1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890C91" w14:paraId="18087DA3" w14:textId="77777777">
        <w:tc>
          <w:tcPr>
            <w:tcW w:w="1128" w:type="dxa"/>
          </w:tcPr>
          <w:p w14:paraId="0B53179E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14:paraId="3E5C5766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陈醋</w:t>
            </w:r>
          </w:p>
        </w:tc>
        <w:tc>
          <w:tcPr>
            <w:tcW w:w="1328" w:type="dxa"/>
          </w:tcPr>
          <w:p w14:paraId="682DA888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桶</w:t>
            </w:r>
          </w:p>
        </w:tc>
        <w:tc>
          <w:tcPr>
            <w:tcW w:w="2310" w:type="dxa"/>
          </w:tcPr>
          <w:p w14:paraId="78C1B43E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890C91" w14:paraId="39C0FFE8" w14:textId="77777777">
        <w:tc>
          <w:tcPr>
            <w:tcW w:w="1128" w:type="dxa"/>
          </w:tcPr>
          <w:p w14:paraId="4C5690E2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21" w:type="dxa"/>
          </w:tcPr>
          <w:p w14:paraId="4DAFF6DA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白醋</w:t>
            </w:r>
          </w:p>
        </w:tc>
        <w:tc>
          <w:tcPr>
            <w:tcW w:w="1328" w:type="dxa"/>
          </w:tcPr>
          <w:p w14:paraId="1D5C65F8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桶</w:t>
            </w:r>
          </w:p>
        </w:tc>
        <w:tc>
          <w:tcPr>
            <w:tcW w:w="2310" w:type="dxa"/>
          </w:tcPr>
          <w:p w14:paraId="16AB9EA7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890C91" w14:paraId="7C2BB1BD" w14:textId="77777777">
        <w:tc>
          <w:tcPr>
            <w:tcW w:w="1128" w:type="dxa"/>
          </w:tcPr>
          <w:p w14:paraId="2175151A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21" w:type="dxa"/>
          </w:tcPr>
          <w:p w14:paraId="0353DCE0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糕点</w:t>
            </w:r>
          </w:p>
        </w:tc>
        <w:tc>
          <w:tcPr>
            <w:tcW w:w="1328" w:type="dxa"/>
          </w:tcPr>
          <w:p w14:paraId="3C5F52D3" w14:textId="77777777" w:rsidR="00890C91" w:rsidRDefault="00397A39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2310" w:type="dxa"/>
          </w:tcPr>
          <w:p w14:paraId="2173F48D" w14:textId="77777777" w:rsidR="00890C91" w:rsidRDefault="00890C91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</w:tbl>
    <w:p w14:paraId="36B1C763" w14:textId="77777777" w:rsidR="00890C91" w:rsidRDefault="00890C91">
      <w:pPr>
        <w:tabs>
          <w:tab w:val="left" w:pos="0"/>
        </w:tabs>
        <w:adjustRightInd w:val="0"/>
        <w:snapToGrid w:val="0"/>
        <w:spacing w:line="500" w:lineRule="exact"/>
        <w:jc w:val="left"/>
        <w:rPr>
          <w:sz w:val="24"/>
          <w:szCs w:val="24"/>
        </w:rPr>
      </w:pPr>
    </w:p>
    <w:p w14:paraId="2074E410" w14:textId="77777777" w:rsidR="00890C91" w:rsidRDefault="00890C91"/>
    <w:p w14:paraId="1DAECE51" w14:textId="77777777" w:rsidR="00890C91" w:rsidRDefault="00890C91"/>
    <w:p w14:paraId="0D307300" w14:textId="77777777" w:rsidR="00890C91" w:rsidRDefault="00890C91" w:rsidP="00397A39">
      <w:pPr>
        <w:spacing w:line="360" w:lineRule="auto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sectPr w:rsidR="00890C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79D"/>
    <w:multiLevelType w:val="multilevel"/>
    <w:tmpl w:val="0589779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D47B47"/>
    <w:multiLevelType w:val="multilevel"/>
    <w:tmpl w:val="1DD47B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7B0DD9"/>
    <w:multiLevelType w:val="multilevel"/>
    <w:tmpl w:val="467B0DD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6"/>
    <w:rsid w:val="00043EEA"/>
    <w:rsid w:val="00283C20"/>
    <w:rsid w:val="00397A39"/>
    <w:rsid w:val="00812562"/>
    <w:rsid w:val="00890C91"/>
    <w:rsid w:val="00BE00BD"/>
    <w:rsid w:val="00E346D8"/>
    <w:rsid w:val="00FA2D31"/>
    <w:rsid w:val="00FE4E36"/>
    <w:rsid w:val="0AB0520E"/>
    <w:rsid w:val="2F28436A"/>
    <w:rsid w:val="400E18EC"/>
    <w:rsid w:val="6D9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unhideWhenUsed/>
    <w:qFormat/>
    <w:rPr>
      <w:rFonts w:ascii="宋体" w:hAnsi="Courier New" w:cstheme="minorBidi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unhideWhenUsed/>
    <w:qFormat/>
    <w:rPr>
      <w:rFonts w:ascii="宋体" w:hAnsi="Courier New" w:cstheme="minorBidi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张霞</dc:creator>
  <cp:lastModifiedBy>何烷桦</cp:lastModifiedBy>
  <cp:revision>4</cp:revision>
  <dcterms:created xsi:type="dcterms:W3CDTF">2025-04-07T07:19:00Z</dcterms:created>
  <dcterms:modified xsi:type="dcterms:W3CDTF">2025-04-07T07:20:00Z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eyJoZGlkIjoiODRkOGQ4MmEzY2FjNjMwZThmMjRiYmY5Yjg4Y2UzNTIiLCJ1c2VySWQiOiIzNjkwOTk4MDcifQ==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811CE77872B846389BE1C0C036DCF6B5_13</vt:lpwstr>
  </property>
</Properties>
</file>