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986"/>
        <w:gridCol w:w="842"/>
        <w:gridCol w:w="7201"/>
      </w:tblGrid>
      <w:tr w:rsidR="005B12FF" w14:paraId="1C6FD570" w14:textId="77777777">
        <w:trPr>
          <w:trHeight w:val="578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F7CA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sz w:val="24"/>
              </w:rPr>
              <w:t>评审因素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85C4" w14:textId="77777777" w:rsidR="005B12FF" w:rsidRDefault="0036053B">
            <w:pPr>
              <w:snapToGri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评审标准</w:t>
            </w:r>
          </w:p>
        </w:tc>
      </w:tr>
      <w:tr w:rsidR="005B12FF" w14:paraId="53F93E56" w14:textId="77777777">
        <w:trPr>
          <w:trHeight w:val="578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9A28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分值构成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CBAF" w14:textId="77777777" w:rsidR="005B12FF" w:rsidRDefault="0036053B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技术部分：</w:t>
            </w:r>
            <w:r>
              <w:rPr>
                <w:rFonts w:ascii="宋体" w:eastAsia="宋体" w:hAnsi="宋体" w:cs="宋体" w:hint="eastAsia"/>
                <w:sz w:val="24"/>
              </w:rPr>
              <w:t>70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  <w:p w14:paraId="5FE2710A" w14:textId="77777777" w:rsidR="005B12FF" w:rsidRDefault="0036053B">
            <w:pPr>
              <w:spacing w:line="4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商务部分：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  <w:p w14:paraId="63435F0D" w14:textId="77777777" w:rsidR="005B12FF" w:rsidRDefault="0036053B">
            <w:pPr>
              <w:snapToGrid w:val="0"/>
              <w:spacing w:line="48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报价得分：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</w:tr>
      <w:tr w:rsidR="005B12FF" w14:paraId="1CE29506" w14:textId="77777777">
        <w:trPr>
          <w:trHeight w:val="57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9744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分类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3D01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评审内容及分值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BBA4" w14:textId="77777777" w:rsidR="005B12FF" w:rsidRDefault="0036053B">
            <w:pPr>
              <w:spacing w:line="240" w:lineRule="exact"/>
              <w:ind w:firstLineChars="200"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评分细则</w:t>
            </w:r>
          </w:p>
        </w:tc>
      </w:tr>
      <w:tr w:rsidR="005B12FF" w14:paraId="15BE9A7F" w14:textId="77777777">
        <w:trPr>
          <w:trHeight w:val="274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DFA18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技术部分（</w:t>
            </w:r>
            <w:r>
              <w:rPr>
                <w:rFonts w:ascii="宋体" w:hAnsi="宋体" w:cs="宋体" w:hint="eastAsia"/>
                <w:szCs w:val="21"/>
              </w:rPr>
              <w:t>70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62BB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项目总体实施方案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C5F1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C8EB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根据投标人所提供项目总体实施方案进行评审，包括但不限于对服务流程、组织落实力度等情况。</w:t>
            </w:r>
          </w:p>
          <w:p w14:paraId="34A48426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、项目总体实施方案详细、合理，服务流程详细，组织落实力度强的，得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3BE98083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、项目总体实施方案较详细、较合理，服务流程较详细，组织落实力度较强的，得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7281B2ED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、项目总体实施方案一般详细、一般合理，服务流程一般详细，组织落实力度一般的，得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22E75EB4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、项目总体实施方案较差的，得</w:t>
            </w:r>
            <w:r>
              <w:rPr>
                <w:rFonts w:ascii="宋体" w:hAnsi="宋体" w:cs="宋体" w:hint="eastAsia"/>
                <w:szCs w:val="21"/>
              </w:rPr>
              <w:t xml:space="preserve">1 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50EFC51B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、没有提供相关描述的，得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</w:tr>
      <w:tr w:rsidR="005B12FF" w14:paraId="6A4AC9BC" w14:textId="77777777">
        <w:trPr>
          <w:trHeight w:val="274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51A04" w14:textId="77777777" w:rsidR="005B12FF" w:rsidRDefault="005B12F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DD10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项目检查与数据分析报告质量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800F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BFE2" w14:textId="77777777" w:rsidR="005B12FF" w:rsidRDefault="0036053B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、检查与数据分析报告内容完整，能准确指出存在的问题，指导相关人员理解报告内容，完全满足得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分；部分满足得</w:t>
            </w:r>
            <w:r>
              <w:rPr>
                <w:rFonts w:ascii="宋体" w:hAnsi="宋体" w:cs="宋体" w:hint="eastAsia"/>
                <w:szCs w:val="21"/>
              </w:rPr>
              <w:t>4-3</w:t>
            </w:r>
            <w:r>
              <w:rPr>
                <w:rFonts w:ascii="宋体" w:hAnsi="宋体" w:cs="宋体" w:hint="eastAsia"/>
                <w:szCs w:val="21"/>
              </w:rPr>
              <w:t>分；不满足或不提供不得分。</w:t>
            </w:r>
          </w:p>
          <w:p w14:paraId="36C8C6AF" w14:textId="77777777" w:rsidR="005B12FF" w:rsidRDefault="0036053B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、提供三甲医院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保基金使用自查自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纠报告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模板，优秀得</w:t>
            </w:r>
            <w:r>
              <w:rPr>
                <w:rFonts w:ascii="宋体" w:hAnsi="宋体" w:cs="宋体" w:hint="eastAsia"/>
                <w:szCs w:val="21"/>
              </w:rPr>
              <w:t>10-7</w:t>
            </w:r>
            <w:r>
              <w:rPr>
                <w:rFonts w:ascii="宋体" w:hAnsi="宋体" w:cs="宋体" w:hint="eastAsia"/>
                <w:szCs w:val="21"/>
              </w:rPr>
              <w:t>分；良好得</w:t>
            </w:r>
            <w:r>
              <w:rPr>
                <w:rFonts w:ascii="宋体" w:hAnsi="宋体" w:cs="宋体" w:hint="eastAsia"/>
                <w:szCs w:val="21"/>
              </w:rPr>
              <w:t>6-4</w:t>
            </w:r>
            <w:r>
              <w:rPr>
                <w:rFonts w:ascii="宋体" w:hAnsi="宋体" w:cs="宋体" w:hint="eastAsia"/>
                <w:szCs w:val="21"/>
              </w:rPr>
              <w:t>分；一般得</w:t>
            </w:r>
            <w:r>
              <w:rPr>
                <w:rFonts w:ascii="宋体" w:hAnsi="宋体" w:cs="宋体" w:hint="eastAsia"/>
                <w:szCs w:val="21"/>
              </w:rPr>
              <w:t>3-1</w:t>
            </w:r>
            <w:r>
              <w:rPr>
                <w:rFonts w:ascii="宋体" w:hAnsi="宋体" w:cs="宋体" w:hint="eastAsia"/>
                <w:szCs w:val="21"/>
              </w:rPr>
              <w:t>分；不提供不得分。</w:t>
            </w:r>
          </w:p>
          <w:p w14:paraId="180EEF6B" w14:textId="77777777" w:rsidR="005B12FF" w:rsidRDefault="0036053B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、提供三甲医院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保基金使用自查自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纠服务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案例，优秀得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分；良好得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分；一般得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分；不提供不得分。</w:t>
            </w:r>
          </w:p>
          <w:p w14:paraId="201E5AC7" w14:textId="77777777" w:rsidR="005B12FF" w:rsidRDefault="0036053B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（提供报告模板、案例，加盖供应商公章）</w:t>
            </w:r>
          </w:p>
        </w:tc>
      </w:tr>
      <w:tr w:rsidR="005B12FF" w14:paraId="46E69CDC" w14:textId="77777777">
        <w:trPr>
          <w:trHeight w:val="274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24AB0" w14:textId="77777777" w:rsidR="005B12FF" w:rsidRDefault="005B12F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953E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团队经验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E492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83A6" w14:textId="77777777" w:rsidR="005B12FF" w:rsidRDefault="0036053B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、为采购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方服务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的团队至少需要一名具备专业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医保知识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的人员，提供该团队人员名单，得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分；否则不得分。</w:t>
            </w:r>
          </w:p>
          <w:p w14:paraId="21AB6547" w14:textId="77777777" w:rsidR="005B12FF" w:rsidRDefault="0036053B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、为采购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方服务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的团队至少需要两名以上有三甲医院工作经验的医疗人员，提供该团队人员名单，得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分；否则不得分。</w:t>
            </w:r>
          </w:p>
          <w:p w14:paraId="10A11127" w14:textId="77777777" w:rsidR="005B12FF" w:rsidRDefault="0036053B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、为采购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方服务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的团队至少需要一至两名具备专业计算机技术背景的技术人员，提供该团队人员名单，得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分；否则不得分。</w:t>
            </w:r>
          </w:p>
          <w:p w14:paraId="48FDB6C9" w14:textId="77777777" w:rsidR="005B12FF" w:rsidRDefault="0036053B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、为采购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方服务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的团队至少需要一名具备财务知识的人员，提供该团队人员名单，得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分；否则不得分。</w:t>
            </w:r>
          </w:p>
          <w:p w14:paraId="3E876F79" w14:textId="77777777" w:rsidR="005B12FF" w:rsidRDefault="0036053B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（需提供相关人员投标截止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日前半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年社保流水等证明，加盖供应商公章）</w:t>
            </w:r>
          </w:p>
        </w:tc>
      </w:tr>
      <w:tr w:rsidR="005B12FF" w14:paraId="2D2A18C8" w14:textId="77777777">
        <w:trPr>
          <w:trHeight w:val="274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266E1" w14:textId="77777777" w:rsidR="005B12FF" w:rsidRDefault="005B12FF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D942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技术培训方案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A053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FB44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根据投标人所提供的技术培训方案进行评审，包括但不限于对人员培训计划的合理性，培训课程内容，培训时间、师资及方式等内容。</w:t>
            </w:r>
          </w:p>
          <w:p w14:paraId="26BDB23D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、技术培训方案详细，培训计划合理，培训时间安排妥当，师资队伍优质，培训方式恰当的，得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59AB85BE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、技术培训方案较详细，培训计划较合理，培训时间安排较妥当，师资队伍较好，培训方式较恰当的，得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  <w:p w14:paraId="50ED4E05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、技术培训方案详细程度一般，培训计划合理性一般，培训时间安排一般，师资队伍一般，培训方式一般的，得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3E94AA58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、技术培训方案较差的，得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6D0696DC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、没有提供相关描述的，得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</w:tr>
      <w:tr w:rsidR="005B12FF" w14:paraId="41FFBD63" w14:textId="77777777">
        <w:trPr>
          <w:trHeight w:val="274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2AD3F" w14:textId="77777777" w:rsidR="005B12FF" w:rsidRDefault="005B12FF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5965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综合服务支撑能力情况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81E5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A4CC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投标人综合服务支撑能力情况进行评审，包括但不限于服务机构的便利性是否方便于采购人及项目实施，服务人员设置是否合理，是否提供及时、专业的服务（服务响应时间安排、处理办法、本地支撑力量等）等内容。</w:t>
            </w:r>
          </w:p>
          <w:p w14:paraId="6E2CBEC8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、服务场所非常便利于采购人及项目实施，服务人员设置稳定合理，服务响应及时的，得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5F7258DC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、服务场所比较便利于采购人及项目实施，服务人员设置较稳定较合理，服务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响应较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及时的，得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3453527A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、服务场所基本便利于采购人及项目实施，服务人员设置一般稳定一般合理，服务响应一般及时的，得</w:t>
            </w:r>
            <w:r>
              <w:rPr>
                <w:rFonts w:ascii="宋体" w:hAnsi="宋体" w:cs="宋体" w:hint="eastAsia"/>
                <w:szCs w:val="21"/>
              </w:rPr>
              <w:t xml:space="preserve">2 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10C000F9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、服务场所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便利于采购人及项目实施，服务人员设置较差的，得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</w:tr>
      <w:tr w:rsidR="005B12FF" w14:paraId="05D424D6" w14:textId="77777777">
        <w:trPr>
          <w:trHeight w:val="274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C1517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商务部分（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859D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售后服务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B894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FAD8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根据投标人</w:t>
            </w:r>
            <w:r>
              <w:rPr>
                <w:rFonts w:ascii="宋体" w:hAnsi="宋体" w:cs="宋体" w:hint="eastAsia"/>
                <w:szCs w:val="21"/>
              </w:rPr>
              <w:t>售后服务</w:t>
            </w:r>
            <w:r>
              <w:rPr>
                <w:rFonts w:ascii="宋体" w:hAnsi="宋体" w:cs="宋体" w:hint="eastAsia"/>
                <w:szCs w:val="21"/>
              </w:rPr>
              <w:t>进行评审，包括但不限于服务机构的</w:t>
            </w:r>
            <w:r>
              <w:rPr>
                <w:rFonts w:ascii="宋体" w:hAnsi="宋体" w:cs="宋体" w:hint="eastAsia"/>
                <w:szCs w:val="21"/>
              </w:rPr>
              <w:t>在合同期内，自查自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纠现场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检查后是否提供售后服务。</w:t>
            </w:r>
          </w:p>
          <w:p w14:paraId="1F1C92CD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售后服务</w:t>
            </w:r>
            <w:r>
              <w:rPr>
                <w:rFonts w:ascii="宋体" w:hAnsi="宋体" w:cs="宋体" w:hint="eastAsia"/>
                <w:szCs w:val="21"/>
              </w:rPr>
              <w:t>提供采购方在接受飞行检查时，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提供陪检或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帮助采购方申诉的，得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446B01CA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、售后服务在合同期内有专人负责采购方在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保、物价方面问题解答的，得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  <w:p w14:paraId="045A4A2D" w14:textId="77777777" w:rsidR="005B12FF" w:rsidRDefault="0036053B">
            <w:pPr>
              <w:pStyle w:val="a5"/>
              <w:tabs>
                <w:tab w:val="left" w:pos="1617"/>
                <w:tab w:val="left" w:pos="1618"/>
              </w:tabs>
              <w:autoSpaceDE w:val="0"/>
              <w:autoSpaceDN w:val="0"/>
              <w:spacing w:line="36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售后服务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在采购方飞行检查时提供违规数据分析的，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14:paraId="3CC8B85F" w14:textId="77777777" w:rsidR="005B12FF" w:rsidRDefault="0036053B">
            <w:pPr>
              <w:pStyle w:val="a5"/>
              <w:tabs>
                <w:tab w:val="left" w:pos="1617"/>
                <w:tab w:val="left" w:pos="1618"/>
              </w:tabs>
              <w:autoSpaceDE w:val="0"/>
              <w:autoSpaceDN w:val="0"/>
              <w:spacing w:line="360" w:lineRule="exact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、无上述售后服务其中一项要求的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得分；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5B12FF" w14:paraId="0EFFCF9F" w14:textId="77777777">
        <w:trPr>
          <w:trHeight w:val="274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947F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价格部分（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0739" w14:textId="77777777" w:rsidR="005B12FF" w:rsidRDefault="003605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7201" w:type="dxa"/>
          </w:tcPr>
          <w:p w14:paraId="0ABAFA1C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价格分是以满足招标文件要求且响应价格最低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的投价为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评标基准价，其他投标的价格分则按比例算出。</w:t>
            </w:r>
          </w:p>
          <w:p w14:paraId="20CE4816" w14:textId="77777777" w:rsidR="005B12FF" w:rsidRDefault="0036053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=</w:t>
            </w:r>
            <w:r>
              <w:rPr>
                <w:rFonts w:ascii="宋体" w:hAnsi="宋体" w:cs="宋体" w:hint="eastAsia"/>
                <w:szCs w:val="21"/>
              </w:rPr>
              <w:t>（基准价／响应报价）×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</w:tr>
    </w:tbl>
    <w:p w14:paraId="696A4CF2" w14:textId="77777777" w:rsidR="005B12FF" w:rsidRDefault="005B12FF"/>
    <w:sectPr w:rsidR="005B1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3280F"/>
    <w:rsid w:val="0036053B"/>
    <w:rsid w:val="005B12FF"/>
    <w:rsid w:val="7253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2"/>
    </w:pPr>
    <w:rPr>
      <w:rFonts w:ascii="宋体" w:eastAsia="宋体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2"/>
    </w:pPr>
    <w:rPr>
      <w:rFonts w:ascii="宋体" w:eastAsia="宋体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颖</dc:creator>
  <cp:lastModifiedBy>何烷桦</cp:lastModifiedBy>
  <cp:revision>2</cp:revision>
  <dcterms:created xsi:type="dcterms:W3CDTF">2025-02-26T07:18:00Z</dcterms:created>
  <dcterms:modified xsi:type="dcterms:W3CDTF">2025-02-26T07:18:00Z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0D42EEA2960C42A895116FE5E3CCFF45_11</vt:lpwstr>
  </property>
  <property fmtid="{D5CDD505-2E9C-101B-9397-08002B2CF9AE}" pid="4" name="KSOTemplateDocerSaveRecord">
    <vt:lpwstr>eyJoZGlkIjoiZDFkODIyNDgzODc2NGNlOTJkOWM5ZDYwZWFmZmUyNTgiLCJ1c2VySWQiOiIzNzA3Njg2NDYifQ==</vt:lpwstr>
  </property>
</Properties>
</file>